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DEE0E" w14:textId="77777777" w:rsidR="007E3925" w:rsidRDefault="001169B2">
      <w:pPr>
        <w:pStyle w:val="Heading1"/>
        <w:spacing w:before="60"/>
        <w:ind w:right="1747"/>
      </w:pPr>
      <w:r>
        <w:t>STATE COUNCIL ON AFFIRMATIVE ACTION</w:t>
      </w:r>
    </w:p>
    <w:p w14:paraId="13825512" w14:textId="77777777" w:rsidR="007E3925" w:rsidRDefault="007E3925">
      <w:pPr>
        <w:pStyle w:val="BodyText"/>
        <w:spacing w:before="10"/>
        <w:rPr>
          <w:b/>
          <w:sz w:val="41"/>
        </w:rPr>
      </w:pPr>
    </w:p>
    <w:p w14:paraId="0A06600B" w14:textId="124F863C" w:rsidR="007E3925" w:rsidRDefault="001169B2">
      <w:pPr>
        <w:ind w:left="2085" w:right="1746"/>
        <w:jc w:val="center"/>
        <w:rPr>
          <w:b/>
          <w:sz w:val="28"/>
        </w:rPr>
      </w:pPr>
      <w:r>
        <w:rPr>
          <w:b/>
          <w:sz w:val="28"/>
        </w:rPr>
        <w:t>20</w:t>
      </w:r>
      <w:r w:rsidR="00695DD3">
        <w:rPr>
          <w:b/>
          <w:sz w:val="28"/>
        </w:rPr>
        <w:t>2</w:t>
      </w:r>
      <w:r w:rsidR="00C86CC3">
        <w:rPr>
          <w:b/>
          <w:sz w:val="28"/>
        </w:rPr>
        <w:t>5</w:t>
      </w:r>
      <w:r w:rsidR="00180F3A">
        <w:rPr>
          <w:b/>
          <w:sz w:val="28"/>
        </w:rPr>
        <w:t xml:space="preserve"> </w:t>
      </w:r>
      <w:r>
        <w:rPr>
          <w:b/>
          <w:sz w:val="28"/>
        </w:rPr>
        <w:t>Lifetime of Service Award</w:t>
      </w:r>
    </w:p>
    <w:p w14:paraId="319F4AEE" w14:textId="77777777" w:rsidR="007E3925" w:rsidRPr="0008099C" w:rsidRDefault="007E3925">
      <w:pPr>
        <w:pStyle w:val="BodyText"/>
        <w:spacing w:before="10"/>
        <w:rPr>
          <w:b/>
          <w:sz w:val="24"/>
          <w:szCs w:val="24"/>
        </w:rPr>
      </w:pPr>
    </w:p>
    <w:p w14:paraId="470A6A7F" w14:textId="77777777" w:rsidR="007E3925" w:rsidRPr="0008099C" w:rsidRDefault="001169B2">
      <w:pPr>
        <w:pStyle w:val="Heading2"/>
        <w:numPr>
          <w:ilvl w:val="0"/>
          <w:numId w:val="2"/>
        </w:numPr>
        <w:tabs>
          <w:tab w:val="left" w:pos="819"/>
          <w:tab w:val="left" w:pos="820"/>
        </w:tabs>
      </w:pPr>
      <w:r w:rsidRPr="0008099C">
        <w:t>Introduction</w:t>
      </w:r>
    </w:p>
    <w:p w14:paraId="75A46266" w14:textId="77777777" w:rsidR="007E3925" w:rsidRPr="0008099C" w:rsidRDefault="007E3925">
      <w:pPr>
        <w:pStyle w:val="BodyText"/>
        <w:rPr>
          <w:b/>
          <w:sz w:val="24"/>
          <w:szCs w:val="24"/>
        </w:rPr>
      </w:pPr>
    </w:p>
    <w:p w14:paraId="3E5FE235" w14:textId="6C642D35" w:rsidR="007E3925" w:rsidRPr="0008099C" w:rsidRDefault="001169B2">
      <w:pPr>
        <w:ind w:left="819" w:right="261"/>
        <w:rPr>
          <w:sz w:val="24"/>
          <w:szCs w:val="24"/>
        </w:rPr>
      </w:pPr>
      <w:r w:rsidRPr="0008099C">
        <w:rPr>
          <w:sz w:val="24"/>
          <w:szCs w:val="24"/>
        </w:rPr>
        <w:t>In 2019, t</w:t>
      </w:r>
      <w:r w:rsidR="00347523" w:rsidRPr="0008099C">
        <w:rPr>
          <w:sz w:val="24"/>
          <w:szCs w:val="24"/>
        </w:rPr>
        <w:t xml:space="preserve">he State Council on Affirmative Action (SCAA) </w:t>
      </w:r>
      <w:r w:rsidRPr="0008099C">
        <w:rPr>
          <w:sz w:val="24"/>
          <w:szCs w:val="24"/>
        </w:rPr>
        <w:t>created t</w:t>
      </w:r>
      <w:r w:rsidR="00347523" w:rsidRPr="0008099C">
        <w:rPr>
          <w:sz w:val="24"/>
          <w:szCs w:val="24"/>
        </w:rPr>
        <w:t xml:space="preserve">he </w:t>
      </w:r>
      <w:r w:rsidR="00347523" w:rsidRPr="0008099C">
        <w:rPr>
          <w:b/>
          <w:sz w:val="24"/>
          <w:szCs w:val="24"/>
        </w:rPr>
        <w:t xml:space="preserve">Lifetime of Service Award </w:t>
      </w:r>
      <w:r w:rsidRPr="0008099C">
        <w:rPr>
          <w:bCs/>
          <w:sz w:val="24"/>
          <w:szCs w:val="24"/>
        </w:rPr>
        <w:t xml:space="preserve">as part of its </w:t>
      </w:r>
      <w:r w:rsidRPr="0008099C">
        <w:rPr>
          <w:b/>
          <w:sz w:val="24"/>
          <w:szCs w:val="24"/>
        </w:rPr>
        <w:t>Diversity Awards program</w:t>
      </w:r>
      <w:r w:rsidRPr="0008099C">
        <w:rPr>
          <w:bCs/>
          <w:sz w:val="24"/>
          <w:szCs w:val="24"/>
        </w:rPr>
        <w:t xml:space="preserve"> to</w:t>
      </w:r>
      <w:r w:rsidRPr="0008099C">
        <w:rPr>
          <w:b/>
          <w:sz w:val="24"/>
          <w:szCs w:val="24"/>
        </w:rPr>
        <w:t xml:space="preserve"> </w:t>
      </w:r>
      <w:r w:rsidR="00347523" w:rsidRPr="0008099C">
        <w:rPr>
          <w:sz w:val="24"/>
          <w:szCs w:val="24"/>
        </w:rPr>
        <w:t xml:space="preserve">recognize </w:t>
      </w:r>
      <w:r w:rsidR="00347523" w:rsidRPr="0008099C">
        <w:rPr>
          <w:sz w:val="24"/>
          <w:szCs w:val="24"/>
          <w:u w:val="single"/>
        </w:rPr>
        <w:t>long-term state employees of state agencies,</w:t>
      </w:r>
      <w:r w:rsidR="00347523" w:rsidRPr="0008099C">
        <w:rPr>
          <w:sz w:val="24"/>
          <w:szCs w:val="24"/>
        </w:rPr>
        <w:t xml:space="preserve"> </w:t>
      </w:r>
      <w:r w:rsidR="00347523" w:rsidRPr="0008099C">
        <w:rPr>
          <w:sz w:val="24"/>
          <w:szCs w:val="24"/>
          <w:u w:val="single"/>
        </w:rPr>
        <w:t xml:space="preserve">Wisconsin Technical Colleges, and Wisconsin University System campuses </w:t>
      </w:r>
      <w:r w:rsidR="00347523" w:rsidRPr="0008099C">
        <w:rPr>
          <w:sz w:val="24"/>
          <w:szCs w:val="24"/>
        </w:rPr>
        <w:t xml:space="preserve">who have demonstrated leadership and an enduring commitment to </w:t>
      </w:r>
      <w:r w:rsidRPr="0008099C">
        <w:rPr>
          <w:sz w:val="24"/>
          <w:szCs w:val="24"/>
        </w:rPr>
        <w:t xml:space="preserve">equity, </w:t>
      </w:r>
      <w:r w:rsidR="00347523" w:rsidRPr="0008099C">
        <w:rPr>
          <w:sz w:val="24"/>
          <w:szCs w:val="24"/>
        </w:rPr>
        <w:t>fostering diversity and promoting an inclusive and healthy work environment throughout their career. This award recognizes individuals who have engaged in purposeful efforts to recruit, retain and promote a diverse workforce spanning their careers in state service.</w:t>
      </w:r>
    </w:p>
    <w:p w14:paraId="7F75EE88" w14:textId="77777777" w:rsidR="007E3925" w:rsidRPr="0008099C" w:rsidRDefault="007E3925">
      <w:pPr>
        <w:pStyle w:val="BodyText"/>
        <w:rPr>
          <w:sz w:val="24"/>
          <w:szCs w:val="24"/>
        </w:rPr>
      </w:pPr>
    </w:p>
    <w:p w14:paraId="6A4CCB18" w14:textId="77777777" w:rsidR="007E3925" w:rsidRPr="0008099C" w:rsidRDefault="001169B2">
      <w:pPr>
        <w:ind w:left="820" w:right="153"/>
        <w:rPr>
          <w:sz w:val="24"/>
          <w:szCs w:val="24"/>
        </w:rPr>
      </w:pPr>
      <w:r w:rsidRPr="0008099C">
        <w:rPr>
          <w:sz w:val="24"/>
          <w:szCs w:val="24"/>
        </w:rPr>
        <w:t>The Council established the Diversity Award program in 2000 to recognize the achievements of outstanding Equal Employment Opportunity (EEO) and Affirmative Action (AA) practices among State Agencies, Wisconsin Technical Colleges, and University of Wisconsin system campuses. Pursuant to Wisconsin Statute, chapter 230.46, the Council advises the Division of Personnel Management's Administrator on the progress of affirmative action programs throughout the Wisconsin civil service system. The Council also seeks compliance with state and federal regulations and recommends improvements in the state's affirmative action efforts as an</w:t>
      </w:r>
      <w:r w:rsidRPr="0008099C">
        <w:rPr>
          <w:spacing w:val="-1"/>
          <w:sz w:val="24"/>
          <w:szCs w:val="24"/>
        </w:rPr>
        <w:t xml:space="preserve"> </w:t>
      </w:r>
      <w:r w:rsidRPr="0008099C">
        <w:rPr>
          <w:sz w:val="24"/>
          <w:szCs w:val="24"/>
        </w:rPr>
        <w:t>employer.</w:t>
      </w:r>
    </w:p>
    <w:p w14:paraId="1F1842F2" w14:textId="77777777" w:rsidR="007E3925" w:rsidRPr="0008099C" w:rsidRDefault="007E3925">
      <w:pPr>
        <w:pStyle w:val="BodyText"/>
        <w:spacing w:before="9"/>
        <w:rPr>
          <w:sz w:val="24"/>
          <w:szCs w:val="24"/>
        </w:rPr>
      </w:pPr>
    </w:p>
    <w:p w14:paraId="00CCEE9F" w14:textId="77777777" w:rsidR="007E3925" w:rsidRPr="0008099C" w:rsidRDefault="001169B2">
      <w:pPr>
        <w:pStyle w:val="ListParagraph"/>
        <w:numPr>
          <w:ilvl w:val="0"/>
          <w:numId w:val="2"/>
        </w:numPr>
        <w:tabs>
          <w:tab w:val="left" w:pos="819"/>
          <w:tab w:val="left" w:pos="820"/>
        </w:tabs>
        <w:ind w:hanging="608"/>
        <w:rPr>
          <w:b/>
          <w:sz w:val="24"/>
          <w:szCs w:val="24"/>
        </w:rPr>
      </w:pPr>
      <w:r w:rsidRPr="0008099C">
        <w:rPr>
          <w:b/>
          <w:sz w:val="24"/>
          <w:szCs w:val="24"/>
        </w:rPr>
        <w:t>Eligibility</w:t>
      </w:r>
    </w:p>
    <w:p w14:paraId="50EAFFC9" w14:textId="77777777" w:rsidR="007E3925" w:rsidRPr="0008099C" w:rsidRDefault="007E3925">
      <w:pPr>
        <w:pStyle w:val="BodyText"/>
        <w:rPr>
          <w:b/>
          <w:sz w:val="24"/>
          <w:szCs w:val="24"/>
        </w:rPr>
      </w:pPr>
    </w:p>
    <w:p w14:paraId="62639A6F" w14:textId="77777777" w:rsidR="007E3925" w:rsidRPr="0008099C" w:rsidRDefault="001169B2">
      <w:pPr>
        <w:ind w:left="820" w:right="261"/>
        <w:rPr>
          <w:sz w:val="24"/>
          <w:szCs w:val="24"/>
        </w:rPr>
      </w:pPr>
      <w:r w:rsidRPr="0008099C">
        <w:rPr>
          <w:sz w:val="24"/>
          <w:szCs w:val="24"/>
        </w:rPr>
        <w:t>Permanent, classified, or unclassified employees with at least 15 years of state service (including university and technical college) are welcome to apply. Nominations can also be submitted by team members, employees supervised by the nominee, or the nominee's supervisor. Nominations submitted by the nominee's subordinate employees or team members must be accompanied by a letter from the nominee's supervisor endorsing the nomination. The nominee's supervisor submits the nomination to the State Council on Affirmative Action and courtesy copies the division and agency head.</w:t>
      </w:r>
    </w:p>
    <w:p w14:paraId="22288684" w14:textId="77777777" w:rsidR="007E3925" w:rsidRPr="0008099C" w:rsidRDefault="007E3925">
      <w:pPr>
        <w:pStyle w:val="BodyText"/>
        <w:rPr>
          <w:sz w:val="24"/>
          <w:szCs w:val="24"/>
        </w:rPr>
      </w:pPr>
    </w:p>
    <w:p w14:paraId="07BD48E7" w14:textId="77777777" w:rsidR="007E3925" w:rsidRPr="0008099C" w:rsidRDefault="007E3925">
      <w:pPr>
        <w:pStyle w:val="BodyText"/>
        <w:rPr>
          <w:sz w:val="24"/>
          <w:szCs w:val="24"/>
        </w:rPr>
      </w:pPr>
    </w:p>
    <w:p w14:paraId="03A27C52" w14:textId="77777777" w:rsidR="007E3925" w:rsidRPr="0008099C" w:rsidRDefault="001169B2">
      <w:pPr>
        <w:pStyle w:val="ListParagraph"/>
        <w:numPr>
          <w:ilvl w:val="0"/>
          <w:numId w:val="2"/>
        </w:numPr>
        <w:tabs>
          <w:tab w:val="left" w:pos="819"/>
          <w:tab w:val="left" w:pos="820"/>
        </w:tabs>
        <w:ind w:hanging="687"/>
        <w:rPr>
          <w:b/>
          <w:sz w:val="24"/>
          <w:szCs w:val="24"/>
        </w:rPr>
      </w:pPr>
      <w:r w:rsidRPr="0008099C">
        <w:rPr>
          <w:b/>
          <w:sz w:val="24"/>
          <w:szCs w:val="24"/>
        </w:rPr>
        <w:t>Application and Selection</w:t>
      </w:r>
      <w:r w:rsidRPr="0008099C">
        <w:rPr>
          <w:b/>
          <w:spacing w:val="-1"/>
          <w:sz w:val="24"/>
          <w:szCs w:val="24"/>
        </w:rPr>
        <w:t xml:space="preserve"> </w:t>
      </w:r>
      <w:r w:rsidRPr="0008099C">
        <w:rPr>
          <w:b/>
          <w:sz w:val="24"/>
          <w:szCs w:val="24"/>
        </w:rPr>
        <w:t>Criteria</w:t>
      </w:r>
    </w:p>
    <w:p w14:paraId="0B880453" w14:textId="77777777" w:rsidR="007E3925" w:rsidRPr="0008099C" w:rsidRDefault="007E3925">
      <w:pPr>
        <w:pStyle w:val="BodyText"/>
        <w:rPr>
          <w:b/>
          <w:sz w:val="24"/>
          <w:szCs w:val="24"/>
        </w:rPr>
      </w:pPr>
    </w:p>
    <w:p w14:paraId="7C1A8FE8" w14:textId="704FA518" w:rsidR="007E3925" w:rsidRPr="0008099C" w:rsidRDefault="001169B2">
      <w:pPr>
        <w:ind w:left="820" w:right="312" w:hanging="1"/>
        <w:rPr>
          <w:sz w:val="24"/>
          <w:szCs w:val="24"/>
        </w:rPr>
      </w:pPr>
      <w:r w:rsidRPr="0008099C">
        <w:rPr>
          <w:sz w:val="24"/>
          <w:szCs w:val="24"/>
        </w:rPr>
        <w:t>The Council will accept nominations for the 20</w:t>
      </w:r>
      <w:r w:rsidR="00695DD3" w:rsidRPr="0008099C">
        <w:rPr>
          <w:sz w:val="24"/>
          <w:szCs w:val="24"/>
        </w:rPr>
        <w:t>2</w:t>
      </w:r>
      <w:r w:rsidR="00C86CC3">
        <w:rPr>
          <w:sz w:val="24"/>
          <w:szCs w:val="24"/>
        </w:rPr>
        <w:t>5</w:t>
      </w:r>
      <w:r w:rsidRPr="0008099C">
        <w:rPr>
          <w:sz w:val="24"/>
          <w:szCs w:val="24"/>
        </w:rPr>
        <w:t xml:space="preserve"> diversity award until </w:t>
      </w:r>
      <w:r w:rsidRPr="0008099C">
        <w:rPr>
          <w:b/>
          <w:sz w:val="24"/>
          <w:szCs w:val="24"/>
        </w:rPr>
        <w:t xml:space="preserve">Friday, </w:t>
      </w:r>
      <w:r w:rsidR="00BA73F5">
        <w:rPr>
          <w:b/>
          <w:sz w:val="24"/>
          <w:szCs w:val="24"/>
        </w:rPr>
        <w:t>November 28</w:t>
      </w:r>
      <w:r w:rsidRPr="0008099C">
        <w:rPr>
          <w:b/>
          <w:sz w:val="24"/>
          <w:szCs w:val="24"/>
        </w:rPr>
        <w:t>, 20</w:t>
      </w:r>
      <w:r w:rsidR="00695DD3" w:rsidRPr="0008099C">
        <w:rPr>
          <w:b/>
          <w:sz w:val="24"/>
          <w:szCs w:val="24"/>
        </w:rPr>
        <w:t>2</w:t>
      </w:r>
      <w:r w:rsidR="00C86CC3">
        <w:rPr>
          <w:b/>
          <w:sz w:val="24"/>
          <w:szCs w:val="24"/>
        </w:rPr>
        <w:t>5</w:t>
      </w:r>
      <w:r w:rsidRPr="0008099C">
        <w:rPr>
          <w:sz w:val="24"/>
          <w:szCs w:val="24"/>
        </w:rPr>
        <w:t>.</w:t>
      </w:r>
    </w:p>
    <w:p w14:paraId="220FBA7C" w14:textId="77777777" w:rsidR="007E3925" w:rsidRPr="0008099C" w:rsidRDefault="001169B2">
      <w:pPr>
        <w:pStyle w:val="BodyText"/>
        <w:spacing w:before="161"/>
        <w:ind w:left="819" w:right="261"/>
        <w:rPr>
          <w:sz w:val="24"/>
          <w:szCs w:val="24"/>
        </w:rPr>
      </w:pPr>
      <w:r w:rsidRPr="0008099C">
        <w:rPr>
          <w:sz w:val="24"/>
          <w:szCs w:val="24"/>
        </w:rPr>
        <w:t>The Council will review the nominations submitted by the agency and university personnel during the selection process. The nomination submitted to the Council for consideration must include:</w:t>
      </w:r>
    </w:p>
    <w:p w14:paraId="5071DC9F" w14:textId="77777777" w:rsidR="007E3925" w:rsidRPr="0008099C" w:rsidRDefault="007E3925">
      <w:pPr>
        <w:rPr>
          <w:sz w:val="24"/>
          <w:szCs w:val="24"/>
        </w:rPr>
        <w:sectPr w:rsidR="007E3925" w:rsidRPr="0008099C">
          <w:headerReference w:type="default" r:id="rId11"/>
          <w:footerReference w:type="default" r:id="rId12"/>
          <w:headerReference w:type="first" r:id="rId13"/>
          <w:footerReference w:type="first" r:id="rId14"/>
          <w:type w:val="continuous"/>
          <w:pgSz w:w="12240" w:h="15840"/>
          <w:pgMar w:top="1380" w:right="1320" w:bottom="1420" w:left="980" w:header="720" w:footer="1240" w:gutter="0"/>
          <w:pgNumType w:start="1"/>
          <w:cols w:space="720"/>
        </w:sectPr>
      </w:pPr>
    </w:p>
    <w:p w14:paraId="152D3E51" w14:textId="12FAD781" w:rsidR="00473E22" w:rsidRPr="0008099C" w:rsidRDefault="001169B2" w:rsidP="00DD568C">
      <w:pPr>
        <w:pStyle w:val="ListParagraph"/>
        <w:numPr>
          <w:ilvl w:val="1"/>
          <w:numId w:val="2"/>
        </w:numPr>
        <w:tabs>
          <w:tab w:val="left" w:pos="1180"/>
        </w:tabs>
        <w:spacing w:before="1"/>
        <w:ind w:right="116"/>
        <w:jc w:val="both"/>
        <w:rPr>
          <w:sz w:val="24"/>
          <w:szCs w:val="24"/>
        </w:rPr>
      </w:pPr>
      <w:r w:rsidRPr="00473E22">
        <w:rPr>
          <w:sz w:val="24"/>
          <w:szCs w:val="24"/>
        </w:rPr>
        <w:lastRenderedPageBreak/>
        <w:t xml:space="preserve">A letter from the nominee's supervisor with optional supporting statements from the nominee's team or subordinate employees to the State Council on Affirmative Action. The letter should introduce the nominee, the nominee's position and work history with the state, and describe the initiatives, programs, or practices the nominee has developed, assisted in developing, or played a significant participating role to help foster a healthy, inclusive, and diverse work environment. The letter and accompanying statements should be no more than three to five (3-5) double-spaced, typed pages. </w:t>
      </w:r>
    </w:p>
    <w:p w14:paraId="453BA306" w14:textId="77777777" w:rsidR="007E3925" w:rsidRPr="00473E22" w:rsidRDefault="007E3925" w:rsidP="00DD568C">
      <w:pPr>
        <w:pStyle w:val="ListParagraph"/>
        <w:tabs>
          <w:tab w:val="left" w:pos="1180"/>
        </w:tabs>
        <w:spacing w:before="1"/>
        <w:ind w:left="1179" w:right="116" w:firstLine="0"/>
        <w:jc w:val="both"/>
        <w:rPr>
          <w:sz w:val="24"/>
          <w:szCs w:val="24"/>
        </w:rPr>
      </w:pPr>
    </w:p>
    <w:p w14:paraId="1BE9F5E6" w14:textId="6E5E7DFE" w:rsidR="007E3925" w:rsidRPr="0008099C" w:rsidRDefault="001169B2">
      <w:pPr>
        <w:pStyle w:val="ListParagraph"/>
        <w:numPr>
          <w:ilvl w:val="1"/>
          <w:numId w:val="2"/>
        </w:numPr>
        <w:tabs>
          <w:tab w:val="left" w:pos="1180"/>
        </w:tabs>
        <w:spacing w:before="91"/>
        <w:ind w:right="129"/>
        <w:rPr>
          <w:sz w:val="24"/>
          <w:szCs w:val="24"/>
        </w:rPr>
      </w:pPr>
      <w:r w:rsidRPr="0008099C">
        <w:rPr>
          <w:sz w:val="24"/>
          <w:szCs w:val="24"/>
        </w:rPr>
        <w:t>The letter(s) should describe the nominee’s involvement in</w:t>
      </w:r>
      <w:r w:rsidR="00695DD3" w:rsidRPr="0008099C">
        <w:rPr>
          <w:sz w:val="24"/>
          <w:szCs w:val="24"/>
        </w:rPr>
        <w:t xml:space="preserve"> equity,</w:t>
      </w:r>
      <w:r w:rsidRPr="0008099C">
        <w:rPr>
          <w:sz w:val="24"/>
          <w:szCs w:val="24"/>
        </w:rPr>
        <w:t xml:space="preserve"> inclusivity, diversity, and wellness initiatives at work and within their community but should focus primarily on the workplace. The nominee's efforts should span the duration of their career with the state for at least 15 years. Supporting statements from subordinates or coworkers can provide personal testaments to how the nominee's actions led them to feel included and supported in the workplace. Supervisory statements can provide information on how the nominee's efforts have positively impacted productivity and employee</w:t>
      </w:r>
      <w:r w:rsidRPr="0008099C">
        <w:rPr>
          <w:spacing w:val="-12"/>
          <w:sz w:val="24"/>
          <w:szCs w:val="24"/>
        </w:rPr>
        <w:t xml:space="preserve"> </w:t>
      </w:r>
      <w:r w:rsidRPr="0008099C">
        <w:rPr>
          <w:sz w:val="24"/>
          <w:szCs w:val="24"/>
        </w:rPr>
        <w:t>engagement.</w:t>
      </w:r>
    </w:p>
    <w:p w14:paraId="798B2E6D" w14:textId="77777777" w:rsidR="007E3925" w:rsidRPr="0008099C" w:rsidRDefault="007E3925">
      <w:pPr>
        <w:pStyle w:val="BodyText"/>
        <w:spacing w:before="10"/>
        <w:rPr>
          <w:sz w:val="24"/>
          <w:szCs w:val="24"/>
        </w:rPr>
      </w:pPr>
    </w:p>
    <w:p w14:paraId="6B80FC70" w14:textId="77777777" w:rsidR="007E3925" w:rsidRPr="0008099C" w:rsidRDefault="001169B2">
      <w:pPr>
        <w:pStyle w:val="ListParagraph"/>
        <w:numPr>
          <w:ilvl w:val="1"/>
          <w:numId w:val="2"/>
        </w:numPr>
        <w:tabs>
          <w:tab w:val="left" w:pos="1180"/>
        </w:tabs>
        <w:ind w:right="291"/>
        <w:rPr>
          <w:b/>
          <w:sz w:val="24"/>
          <w:szCs w:val="24"/>
        </w:rPr>
      </w:pPr>
      <w:r w:rsidRPr="0008099C">
        <w:rPr>
          <w:sz w:val="24"/>
          <w:szCs w:val="24"/>
        </w:rPr>
        <w:t>Submissions will be evaluated based on information that describes the nominee’s individual efforts and achievements, which addresses the</w:t>
      </w:r>
      <w:r w:rsidRPr="0008099C">
        <w:rPr>
          <w:spacing w:val="-7"/>
          <w:sz w:val="24"/>
          <w:szCs w:val="24"/>
        </w:rPr>
        <w:t xml:space="preserve"> </w:t>
      </w:r>
      <w:r w:rsidRPr="0008099C">
        <w:rPr>
          <w:sz w:val="24"/>
          <w:szCs w:val="24"/>
        </w:rPr>
        <w:t>following</w:t>
      </w:r>
      <w:r w:rsidRPr="0008099C">
        <w:rPr>
          <w:b/>
          <w:sz w:val="24"/>
          <w:szCs w:val="24"/>
        </w:rPr>
        <w:t>:</w:t>
      </w:r>
    </w:p>
    <w:p w14:paraId="4E6143CE" w14:textId="77777777" w:rsidR="007E3925" w:rsidRPr="0008099C" w:rsidRDefault="007E3925">
      <w:pPr>
        <w:pStyle w:val="BodyText"/>
        <w:spacing w:before="1"/>
        <w:rPr>
          <w:b/>
          <w:sz w:val="24"/>
          <w:szCs w:val="24"/>
        </w:rPr>
      </w:pPr>
    </w:p>
    <w:p w14:paraId="04731E11" w14:textId="29562C04" w:rsidR="007E3925" w:rsidRPr="0008099C" w:rsidRDefault="001169B2">
      <w:pPr>
        <w:pStyle w:val="ListParagraph"/>
        <w:numPr>
          <w:ilvl w:val="2"/>
          <w:numId w:val="2"/>
        </w:numPr>
        <w:tabs>
          <w:tab w:val="left" w:pos="1540"/>
          <w:tab w:val="left" w:pos="1541"/>
        </w:tabs>
        <w:ind w:right="233" w:hanging="360"/>
        <w:rPr>
          <w:sz w:val="24"/>
          <w:szCs w:val="24"/>
        </w:rPr>
      </w:pPr>
      <w:r w:rsidRPr="0008099C">
        <w:rPr>
          <w:sz w:val="24"/>
          <w:szCs w:val="24"/>
        </w:rPr>
        <w:t>Strong commitment to inclusiveness through any of the following: recruitment of diverse candidates; retention and/or promotion of a diverse workforce; creation of or participation in programs, initiatives, and practices aimed at increasing diversity</w:t>
      </w:r>
      <w:r w:rsidR="00695DD3" w:rsidRPr="0008099C">
        <w:rPr>
          <w:sz w:val="24"/>
          <w:szCs w:val="24"/>
        </w:rPr>
        <w:t>, equity, and inclusion</w:t>
      </w:r>
      <w:r w:rsidRPr="0008099C">
        <w:rPr>
          <w:sz w:val="24"/>
          <w:szCs w:val="24"/>
        </w:rPr>
        <w:t xml:space="preserve"> and/or promoting employee wellness.</w:t>
      </w:r>
    </w:p>
    <w:p w14:paraId="4F5518B0" w14:textId="77777777" w:rsidR="007E3925" w:rsidRPr="0008099C" w:rsidRDefault="007E3925">
      <w:pPr>
        <w:pStyle w:val="BodyText"/>
        <w:rPr>
          <w:sz w:val="24"/>
          <w:szCs w:val="24"/>
        </w:rPr>
      </w:pPr>
    </w:p>
    <w:p w14:paraId="0EA0FFB7" w14:textId="77777777" w:rsidR="007E3925" w:rsidRPr="0008099C" w:rsidRDefault="001169B2">
      <w:pPr>
        <w:pStyle w:val="ListParagraph"/>
        <w:numPr>
          <w:ilvl w:val="2"/>
          <w:numId w:val="2"/>
        </w:numPr>
        <w:tabs>
          <w:tab w:val="left" w:pos="1540"/>
          <w:tab w:val="left" w:pos="1541"/>
        </w:tabs>
        <w:ind w:left="1540" w:right="444"/>
        <w:rPr>
          <w:sz w:val="24"/>
          <w:szCs w:val="24"/>
        </w:rPr>
      </w:pPr>
      <w:r w:rsidRPr="0008099C">
        <w:rPr>
          <w:sz w:val="24"/>
          <w:szCs w:val="24"/>
        </w:rPr>
        <w:t>Innovative recruitment, retention, and/or engagement efforts and initiatives may include multi-cultural components implemented to attract and provide access for a broader base of women, veterans, persons with disabilities, and racial and ethnic minority</w:t>
      </w:r>
      <w:r w:rsidRPr="0008099C">
        <w:rPr>
          <w:spacing w:val="-15"/>
          <w:sz w:val="24"/>
          <w:szCs w:val="24"/>
        </w:rPr>
        <w:t xml:space="preserve"> </w:t>
      </w:r>
      <w:r w:rsidRPr="0008099C">
        <w:rPr>
          <w:sz w:val="24"/>
          <w:szCs w:val="24"/>
        </w:rPr>
        <w:t>applicants.</w:t>
      </w:r>
    </w:p>
    <w:p w14:paraId="517ED8E9" w14:textId="77777777" w:rsidR="007E3925" w:rsidRPr="0008099C" w:rsidRDefault="007E3925">
      <w:pPr>
        <w:pStyle w:val="BodyText"/>
        <w:spacing w:before="10"/>
        <w:rPr>
          <w:sz w:val="24"/>
          <w:szCs w:val="24"/>
        </w:rPr>
      </w:pPr>
    </w:p>
    <w:p w14:paraId="0A543CC9" w14:textId="77777777" w:rsidR="007E3925" w:rsidRPr="0008099C" w:rsidRDefault="001169B2">
      <w:pPr>
        <w:pStyle w:val="ListParagraph"/>
        <w:numPr>
          <w:ilvl w:val="2"/>
          <w:numId w:val="2"/>
        </w:numPr>
        <w:tabs>
          <w:tab w:val="left" w:pos="1540"/>
          <w:tab w:val="left" w:pos="1541"/>
        </w:tabs>
        <w:ind w:left="1540" w:right="454"/>
        <w:rPr>
          <w:sz w:val="24"/>
          <w:szCs w:val="24"/>
        </w:rPr>
      </w:pPr>
      <w:r w:rsidRPr="0008099C">
        <w:rPr>
          <w:sz w:val="24"/>
          <w:szCs w:val="24"/>
        </w:rPr>
        <w:t>Dedication to promoting employee wellness and a healthy (emotionally and/or physically) workplace.</w:t>
      </w:r>
    </w:p>
    <w:p w14:paraId="5CACB233" w14:textId="77777777" w:rsidR="007E3925" w:rsidRPr="0008099C" w:rsidRDefault="007E3925">
      <w:pPr>
        <w:pStyle w:val="BodyText"/>
        <w:spacing w:before="11"/>
        <w:rPr>
          <w:sz w:val="24"/>
          <w:szCs w:val="24"/>
        </w:rPr>
      </w:pPr>
    </w:p>
    <w:p w14:paraId="683D3DCB" w14:textId="77777777" w:rsidR="007E3925" w:rsidRPr="0008099C" w:rsidRDefault="001169B2">
      <w:pPr>
        <w:pStyle w:val="ListParagraph"/>
        <w:numPr>
          <w:ilvl w:val="2"/>
          <w:numId w:val="2"/>
        </w:numPr>
        <w:tabs>
          <w:tab w:val="left" w:pos="1540"/>
          <w:tab w:val="left" w:pos="1541"/>
        </w:tabs>
        <w:ind w:left="1540" w:right="190" w:hanging="360"/>
        <w:rPr>
          <w:sz w:val="24"/>
          <w:szCs w:val="24"/>
        </w:rPr>
      </w:pPr>
      <w:r w:rsidRPr="0008099C">
        <w:rPr>
          <w:sz w:val="24"/>
          <w:szCs w:val="24"/>
        </w:rPr>
        <w:t>Facilitation of training opportunities that lead to upward mobility for racial and ethnic minorities, women, veterans, and persons with disabilities in leadership</w:t>
      </w:r>
      <w:r w:rsidRPr="0008099C">
        <w:rPr>
          <w:spacing w:val="-11"/>
          <w:sz w:val="24"/>
          <w:szCs w:val="24"/>
        </w:rPr>
        <w:t xml:space="preserve"> </w:t>
      </w:r>
      <w:r w:rsidRPr="0008099C">
        <w:rPr>
          <w:sz w:val="24"/>
          <w:szCs w:val="24"/>
        </w:rPr>
        <w:t>positions.</w:t>
      </w:r>
    </w:p>
    <w:p w14:paraId="10788AD6" w14:textId="77777777" w:rsidR="007E3925" w:rsidRPr="0008099C" w:rsidRDefault="007E3925">
      <w:pPr>
        <w:pStyle w:val="BodyText"/>
        <w:rPr>
          <w:sz w:val="24"/>
          <w:szCs w:val="24"/>
        </w:rPr>
      </w:pPr>
    </w:p>
    <w:p w14:paraId="7B72F168" w14:textId="3E0C94E3" w:rsidR="007E3925" w:rsidRPr="0008099C" w:rsidRDefault="001169B2">
      <w:pPr>
        <w:spacing w:before="147"/>
        <w:ind w:left="820" w:right="261"/>
        <w:rPr>
          <w:sz w:val="24"/>
          <w:szCs w:val="24"/>
        </w:rPr>
      </w:pPr>
      <w:r w:rsidRPr="0008099C">
        <w:rPr>
          <w:sz w:val="24"/>
          <w:szCs w:val="24"/>
        </w:rPr>
        <w:t xml:space="preserve">Please email applications to </w:t>
      </w:r>
      <w:r w:rsidR="00180F3A">
        <w:rPr>
          <w:sz w:val="24"/>
          <w:szCs w:val="24"/>
        </w:rPr>
        <w:t xml:space="preserve">Briann Padrutt at </w:t>
      </w:r>
      <w:hyperlink r:id="rId15" w:history="1">
        <w:r w:rsidR="00C345C4" w:rsidRPr="00A907CB">
          <w:rPr>
            <w:rStyle w:val="Hyperlink"/>
            <w:sz w:val="24"/>
            <w:szCs w:val="24"/>
          </w:rPr>
          <w:t>briann.padrutt@wisconsin.gov</w:t>
        </w:r>
      </w:hyperlink>
      <w:r w:rsidR="00C345C4">
        <w:rPr>
          <w:sz w:val="24"/>
          <w:szCs w:val="24"/>
        </w:rPr>
        <w:t xml:space="preserve"> </w:t>
      </w:r>
      <w:r w:rsidRPr="0008099C">
        <w:rPr>
          <w:sz w:val="24"/>
          <w:szCs w:val="24"/>
        </w:rPr>
        <w:t>with the subject line: “</w:t>
      </w:r>
      <w:r w:rsidRPr="0008099C">
        <w:rPr>
          <w:b/>
          <w:sz w:val="24"/>
          <w:szCs w:val="24"/>
        </w:rPr>
        <w:t>Diversity Awards</w:t>
      </w:r>
      <w:r w:rsidR="00695DD3" w:rsidRPr="0008099C">
        <w:rPr>
          <w:b/>
          <w:sz w:val="24"/>
          <w:szCs w:val="24"/>
        </w:rPr>
        <w:t>."</w:t>
      </w:r>
    </w:p>
    <w:p w14:paraId="3887A7CA" w14:textId="473CCA5F" w:rsidR="00295A48" w:rsidRDefault="00295A48">
      <w:pPr>
        <w:pStyle w:val="BodyText"/>
        <w:spacing w:before="1"/>
        <w:rPr>
          <w:sz w:val="24"/>
          <w:szCs w:val="24"/>
        </w:rPr>
      </w:pPr>
    </w:p>
    <w:p w14:paraId="022C7E20" w14:textId="77777777" w:rsidR="00295A48" w:rsidRPr="0008099C" w:rsidRDefault="00295A48">
      <w:pPr>
        <w:pStyle w:val="BodyText"/>
        <w:spacing w:before="1"/>
        <w:rPr>
          <w:sz w:val="24"/>
          <w:szCs w:val="24"/>
        </w:rPr>
      </w:pPr>
    </w:p>
    <w:p w14:paraId="77C7DB02" w14:textId="373229A8" w:rsidR="007E3925" w:rsidRPr="00C9599B" w:rsidRDefault="001169B2" w:rsidP="00C9599B">
      <w:pPr>
        <w:pStyle w:val="Heading2"/>
        <w:numPr>
          <w:ilvl w:val="0"/>
          <w:numId w:val="2"/>
        </w:numPr>
        <w:tabs>
          <w:tab w:val="left" w:pos="819"/>
          <w:tab w:val="left" w:pos="820"/>
        </w:tabs>
      </w:pPr>
      <w:r w:rsidRPr="0008099C">
        <w:t>Judge</w:t>
      </w:r>
      <w:r w:rsidR="00C9599B">
        <w:t>s</w:t>
      </w:r>
    </w:p>
    <w:p w14:paraId="4929D962" w14:textId="3347DDD8" w:rsidR="007E3925" w:rsidRPr="0008099C" w:rsidRDefault="009271D1">
      <w:pPr>
        <w:pStyle w:val="BodyText"/>
        <w:ind w:left="820" w:right="580"/>
        <w:rPr>
          <w:sz w:val="24"/>
          <w:szCs w:val="24"/>
        </w:rPr>
      </w:pPr>
      <w:r>
        <w:rPr>
          <w:sz w:val="24"/>
          <w:szCs w:val="24"/>
        </w:rPr>
        <w:lastRenderedPageBreak/>
        <w:t>A three (3) or five (5) person committee from t</w:t>
      </w:r>
      <w:r w:rsidR="001169B2" w:rsidRPr="0008099C">
        <w:rPr>
          <w:sz w:val="24"/>
          <w:szCs w:val="24"/>
        </w:rPr>
        <w:t xml:space="preserve">he State Council on Affirmative Action members, representing diverse communities across the state, </w:t>
      </w:r>
      <w:r>
        <w:rPr>
          <w:sz w:val="24"/>
          <w:szCs w:val="24"/>
        </w:rPr>
        <w:t xml:space="preserve">and the Division of Personnel Management </w:t>
      </w:r>
      <w:r w:rsidR="001169B2" w:rsidRPr="0008099C">
        <w:rPr>
          <w:sz w:val="24"/>
          <w:szCs w:val="24"/>
        </w:rPr>
        <w:t>will review all nominations and rate them according to the selection criteria.</w:t>
      </w:r>
    </w:p>
    <w:p w14:paraId="474A58A7" w14:textId="77777777" w:rsidR="0008099C" w:rsidRPr="0008099C" w:rsidRDefault="0008099C" w:rsidP="0008099C">
      <w:pPr>
        <w:pStyle w:val="Heading2"/>
        <w:tabs>
          <w:tab w:val="left" w:pos="819"/>
          <w:tab w:val="left" w:pos="820"/>
        </w:tabs>
        <w:ind w:left="0" w:firstLine="0"/>
      </w:pPr>
    </w:p>
    <w:p w14:paraId="18DA0696" w14:textId="09DCD81B" w:rsidR="00C9599B" w:rsidRDefault="001169B2" w:rsidP="00C9599B">
      <w:pPr>
        <w:pStyle w:val="Heading2"/>
        <w:numPr>
          <w:ilvl w:val="0"/>
          <w:numId w:val="2"/>
        </w:numPr>
        <w:tabs>
          <w:tab w:val="left" w:pos="819"/>
          <w:tab w:val="left" w:pos="820"/>
        </w:tabs>
      </w:pPr>
      <w:r w:rsidRPr="0008099C">
        <w:t>Award</w:t>
      </w:r>
      <w:r w:rsidRPr="0008099C">
        <w:rPr>
          <w:spacing w:val="-1"/>
        </w:rPr>
        <w:t xml:space="preserve"> </w:t>
      </w:r>
      <w:r w:rsidRPr="0008099C">
        <w:t>Presentation</w:t>
      </w:r>
    </w:p>
    <w:p w14:paraId="5C485581" w14:textId="77777777" w:rsidR="00C9599B" w:rsidRPr="00C9599B" w:rsidRDefault="00C9599B" w:rsidP="00C9599B">
      <w:pPr>
        <w:pStyle w:val="Heading2"/>
        <w:tabs>
          <w:tab w:val="left" w:pos="819"/>
          <w:tab w:val="left" w:pos="820"/>
        </w:tabs>
        <w:ind w:left="504" w:firstLine="0"/>
      </w:pPr>
    </w:p>
    <w:p w14:paraId="48DE1811" w14:textId="5C481971" w:rsidR="00C9599B" w:rsidRPr="000E1B98" w:rsidRDefault="00C9599B" w:rsidP="00C9599B">
      <w:pPr>
        <w:pStyle w:val="BodyText"/>
        <w:spacing w:before="79"/>
        <w:ind w:left="820" w:right="229" w:hanging="1"/>
        <w:rPr>
          <w:sz w:val="24"/>
          <w:szCs w:val="24"/>
        </w:rPr>
      </w:pPr>
      <w:r w:rsidRPr="000E1B98">
        <w:rPr>
          <w:sz w:val="24"/>
          <w:szCs w:val="24"/>
        </w:rPr>
        <w:t xml:space="preserve">The secretaries/chancellors of the selected agencies/universities, the individual receiving recognition for their outstanding service and their supervisor will be notified of the awards no later than </w:t>
      </w:r>
      <w:r w:rsidR="00BA73F5" w:rsidRPr="003B43EB">
        <w:rPr>
          <w:szCs w:val="24"/>
        </w:rPr>
        <w:t>December 12, 2025. Awards will be presented on Friday, January 23, 2026, at the Hill Farms State Office Building.</w:t>
      </w:r>
    </w:p>
    <w:p w14:paraId="034D8783" w14:textId="77777777" w:rsidR="0008099C" w:rsidRPr="0008099C" w:rsidRDefault="0008099C" w:rsidP="0008099C">
      <w:pPr>
        <w:pStyle w:val="BodyText"/>
        <w:spacing w:before="79"/>
        <w:ind w:left="475" w:right="259"/>
        <w:rPr>
          <w:sz w:val="24"/>
          <w:szCs w:val="24"/>
        </w:rPr>
      </w:pPr>
    </w:p>
    <w:p w14:paraId="52276659" w14:textId="31BF8783" w:rsidR="0008099C" w:rsidRPr="0008099C" w:rsidRDefault="001169B2" w:rsidP="0008099C">
      <w:pPr>
        <w:pStyle w:val="BodyText"/>
        <w:numPr>
          <w:ilvl w:val="0"/>
          <w:numId w:val="2"/>
        </w:numPr>
        <w:spacing w:before="79"/>
        <w:ind w:left="144"/>
        <w:mirrorIndents/>
        <w:rPr>
          <w:b/>
          <w:bCs/>
          <w:sz w:val="24"/>
          <w:szCs w:val="24"/>
        </w:rPr>
      </w:pPr>
      <w:r w:rsidRPr="0008099C">
        <w:rPr>
          <w:b/>
          <w:bCs/>
          <w:sz w:val="24"/>
          <w:szCs w:val="24"/>
        </w:rPr>
        <w:t>Contact Information</w:t>
      </w:r>
    </w:p>
    <w:p w14:paraId="3B248B8C" w14:textId="77777777" w:rsidR="0008099C" w:rsidRPr="0008099C" w:rsidRDefault="0008099C" w:rsidP="0008099C">
      <w:pPr>
        <w:pStyle w:val="BodyText"/>
        <w:ind w:right="2610"/>
        <w:rPr>
          <w:sz w:val="24"/>
          <w:szCs w:val="24"/>
        </w:rPr>
      </w:pPr>
    </w:p>
    <w:p w14:paraId="40EB63B8" w14:textId="765148EA" w:rsidR="007E3925" w:rsidRDefault="001169B2" w:rsidP="00C345C4">
      <w:pPr>
        <w:pStyle w:val="BodyText"/>
        <w:ind w:left="821" w:right="259"/>
      </w:pPr>
      <w:r w:rsidRPr="0008099C">
        <w:rPr>
          <w:sz w:val="24"/>
          <w:szCs w:val="24"/>
        </w:rPr>
        <w:t xml:space="preserve">For additional information about the Diversity Award program, email: </w:t>
      </w:r>
      <w:r w:rsidR="00C345C4">
        <w:t>briann.padrutt@wisconsin.gov</w:t>
      </w:r>
    </w:p>
    <w:sectPr w:rsidR="007E3925" w:rsidSect="00C9599B">
      <w:pgSz w:w="12240" w:h="15840"/>
      <w:pgMar w:top="1440" w:right="1440" w:bottom="1440" w:left="1440" w:header="0" w:footer="12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63A68" w14:textId="77777777" w:rsidR="00DE0711" w:rsidRDefault="00DE0711">
      <w:r>
        <w:separator/>
      </w:r>
    </w:p>
  </w:endnote>
  <w:endnote w:type="continuationSeparator" w:id="0">
    <w:p w14:paraId="1D53ACCC" w14:textId="77777777" w:rsidR="00DE0711" w:rsidRDefault="00DE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F655" w14:textId="470A9182" w:rsidR="007E3925" w:rsidRDefault="007E3925">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4DFA1" w14:textId="77777777" w:rsidR="00C9599B" w:rsidRDefault="00C9599B">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46C9920D" w14:textId="77777777" w:rsidR="00C9599B" w:rsidRDefault="00C959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BDBCC" w14:textId="77777777" w:rsidR="00DE0711" w:rsidRDefault="00DE0711">
      <w:r>
        <w:separator/>
      </w:r>
    </w:p>
  </w:footnote>
  <w:footnote w:type="continuationSeparator" w:id="0">
    <w:p w14:paraId="5B104F4C" w14:textId="77777777" w:rsidR="00DE0711" w:rsidRDefault="00DE0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3C083" w14:textId="1FA02E0F" w:rsidR="00C9599B" w:rsidRDefault="00C9599B" w:rsidP="00C9599B">
    <w:pPr>
      <w:pStyle w:val="Header"/>
    </w:pPr>
    <w:r>
      <w:t>State Council on Affirmative Action</w:t>
    </w:r>
    <w:r>
      <w:tab/>
    </w:r>
    <w:r>
      <w:ptab w:relativeTo="margin" w:alignment="right" w:leader="none"/>
    </w:r>
    <w:r>
      <w:t>202</w:t>
    </w:r>
    <w:r w:rsidR="00C86CC3">
      <w:t>5 L</w:t>
    </w:r>
    <w:r>
      <w:t>ifetime of Service Award</w:t>
    </w:r>
  </w:p>
  <w:p w14:paraId="200D4E50" w14:textId="77777777" w:rsidR="00C9599B" w:rsidRPr="00C9599B" w:rsidRDefault="00C9599B" w:rsidP="00C9599B">
    <w:pPr>
      <w:pStyle w:val="Header"/>
      <w:rPr>
        <w:i/>
        <w:iCs/>
      </w:rPr>
    </w:pPr>
    <w:r>
      <w:rPr>
        <w:i/>
        <w:iCs/>
      </w:rPr>
      <w:t>Nomination and Selection Criteria - Continued</w:t>
    </w:r>
  </w:p>
  <w:p w14:paraId="612B25AE" w14:textId="77777777" w:rsidR="00C9599B" w:rsidRDefault="00C959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60B63" w14:textId="77777777" w:rsidR="00C9599B" w:rsidRDefault="00C9599B">
    <w:pPr>
      <w:pStyle w:val="Header"/>
    </w:pPr>
  </w:p>
  <w:p w14:paraId="10E65742" w14:textId="13689E64" w:rsidR="00C9599B" w:rsidRDefault="00C9599B">
    <w:pPr>
      <w:pStyle w:val="Header"/>
    </w:pPr>
    <w:r>
      <w:t>State Council on Affirmative Action</w:t>
    </w:r>
    <w:r>
      <w:tab/>
    </w:r>
    <w:r>
      <w:ptab w:relativeTo="margin" w:alignment="right" w:leader="none"/>
    </w:r>
    <w:r>
      <w:t>202</w:t>
    </w:r>
    <w:r w:rsidR="00C86CC3">
      <w:t>5</w:t>
    </w:r>
    <w:r>
      <w:t xml:space="preserve"> Lifetime of Service Award</w:t>
    </w:r>
  </w:p>
  <w:p w14:paraId="180EEE03" w14:textId="242B6FF1" w:rsidR="00C9599B" w:rsidRPr="00C9599B" w:rsidRDefault="00C9599B">
    <w:pPr>
      <w:pStyle w:val="Header"/>
      <w:rPr>
        <w:i/>
        <w:iCs/>
      </w:rPr>
    </w:pPr>
    <w:r>
      <w:rPr>
        <w:i/>
        <w:iCs/>
      </w:rPr>
      <w:t>Nomination and Selection Criteria - 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7E6D"/>
    <w:multiLevelType w:val="hybridMultilevel"/>
    <w:tmpl w:val="C008637A"/>
    <w:lvl w:ilvl="0" w:tplc="65025E24">
      <w:start w:val="1"/>
      <w:numFmt w:val="upperRoman"/>
      <w:lvlText w:val="%1."/>
      <w:lvlJc w:val="left"/>
      <w:pPr>
        <w:ind w:left="820" w:hanging="514"/>
        <w:jc w:val="right"/>
      </w:pPr>
      <w:rPr>
        <w:rFonts w:ascii="Times New Roman" w:eastAsia="Times New Roman" w:hAnsi="Times New Roman" w:cs="Times New Roman" w:hint="default"/>
        <w:b/>
        <w:bCs/>
        <w:w w:val="99"/>
        <w:sz w:val="24"/>
        <w:szCs w:val="24"/>
        <w:lang w:val="en-US" w:eastAsia="en-US" w:bidi="en-US"/>
      </w:rPr>
    </w:lvl>
    <w:lvl w:ilvl="1" w:tplc="2A148B80">
      <w:numFmt w:val="bullet"/>
      <w:lvlText w:val="•"/>
      <w:lvlJc w:val="left"/>
      <w:pPr>
        <w:ind w:left="1732" w:hanging="514"/>
      </w:pPr>
      <w:rPr>
        <w:rFonts w:hint="default"/>
        <w:lang w:val="en-US" w:eastAsia="en-US" w:bidi="en-US"/>
      </w:rPr>
    </w:lvl>
    <w:lvl w:ilvl="2" w:tplc="247C2CE2">
      <w:numFmt w:val="bullet"/>
      <w:lvlText w:val="•"/>
      <w:lvlJc w:val="left"/>
      <w:pPr>
        <w:ind w:left="2644" w:hanging="514"/>
      </w:pPr>
      <w:rPr>
        <w:rFonts w:hint="default"/>
        <w:lang w:val="en-US" w:eastAsia="en-US" w:bidi="en-US"/>
      </w:rPr>
    </w:lvl>
    <w:lvl w:ilvl="3" w:tplc="5142D37A">
      <w:numFmt w:val="bullet"/>
      <w:lvlText w:val="•"/>
      <w:lvlJc w:val="left"/>
      <w:pPr>
        <w:ind w:left="3556" w:hanging="514"/>
      </w:pPr>
      <w:rPr>
        <w:rFonts w:hint="default"/>
        <w:lang w:val="en-US" w:eastAsia="en-US" w:bidi="en-US"/>
      </w:rPr>
    </w:lvl>
    <w:lvl w:ilvl="4" w:tplc="A4783882">
      <w:numFmt w:val="bullet"/>
      <w:lvlText w:val="•"/>
      <w:lvlJc w:val="left"/>
      <w:pPr>
        <w:ind w:left="4468" w:hanging="514"/>
      </w:pPr>
      <w:rPr>
        <w:rFonts w:hint="default"/>
        <w:lang w:val="en-US" w:eastAsia="en-US" w:bidi="en-US"/>
      </w:rPr>
    </w:lvl>
    <w:lvl w:ilvl="5" w:tplc="44561E86">
      <w:numFmt w:val="bullet"/>
      <w:lvlText w:val="•"/>
      <w:lvlJc w:val="left"/>
      <w:pPr>
        <w:ind w:left="5380" w:hanging="514"/>
      </w:pPr>
      <w:rPr>
        <w:rFonts w:hint="default"/>
        <w:lang w:val="en-US" w:eastAsia="en-US" w:bidi="en-US"/>
      </w:rPr>
    </w:lvl>
    <w:lvl w:ilvl="6" w:tplc="7B1EA6FC">
      <w:numFmt w:val="bullet"/>
      <w:lvlText w:val="•"/>
      <w:lvlJc w:val="left"/>
      <w:pPr>
        <w:ind w:left="6292" w:hanging="514"/>
      </w:pPr>
      <w:rPr>
        <w:rFonts w:hint="default"/>
        <w:lang w:val="en-US" w:eastAsia="en-US" w:bidi="en-US"/>
      </w:rPr>
    </w:lvl>
    <w:lvl w:ilvl="7" w:tplc="C51C7486">
      <w:numFmt w:val="bullet"/>
      <w:lvlText w:val="•"/>
      <w:lvlJc w:val="left"/>
      <w:pPr>
        <w:ind w:left="7204" w:hanging="514"/>
      </w:pPr>
      <w:rPr>
        <w:rFonts w:hint="default"/>
        <w:lang w:val="en-US" w:eastAsia="en-US" w:bidi="en-US"/>
      </w:rPr>
    </w:lvl>
    <w:lvl w:ilvl="8" w:tplc="CB54FD0E">
      <w:numFmt w:val="bullet"/>
      <w:lvlText w:val="•"/>
      <w:lvlJc w:val="left"/>
      <w:pPr>
        <w:ind w:left="8116" w:hanging="514"/>
      </w:pPr>
      <w:rPr>
        <w:rFonts w:hint="default"/>
        <w:lang w:val="en-US" w:eastAsia="en-US" w:bidi="en-US"/>
      </w:rPr>
    </w:lvl>
  </w:abstractNum>
  <w:abstractNum w:abstractNumId="1" w15:restartNumberingAfterBreak="0">
    <w:nsid w:val="346547F3"/>
    <w:multiLevelType w:val="hybridMultilevel"/>
    <w:tmpl w:val="B3EE2372"/>
    <w:lvl w:ilvl="0" w:tplc="38884424">
      <w:start w:val="1"/>
      <w:numFmt w:val="upperRoman"/>
      <w:suff w:val="space"/>
      <w:lvlText w:val="%1."/>
      <w:lvlJc w:val="left"/>
      <w:pPr>
        <w:ind w:left="504" w:hanging="144"/>
      </w:pPr>
      <w:rPr>
        <w:rFonts w:hint="default"/>
        <w:b/>
        <w:bCs/>
        <w:w w:val="99"/>
        <w:lang w:val="en-US" w:eastAsia="en-US" w:bidi="en-US"/>
      </w:rPr>
    </w:lvl>
    <w:lvl w:ilvl="1" w:tplc="706414F2">
      <w:start w:val="1"/>
      <w:numFmt w:val="decimal"/>
      <w:lvlText w:val="%2."/>
      <w:lvlJc w:val="left"/>
      <w:pPr>
        <w:ind w:left="1179" w:hanging="360"/>
      </w:pPr>
      <w:rPr>
        <w:rFonts w:ascii="Times New Roman" w:eastAsia="Times New Roman" w:hAnsi="Times New Roman" w:cs="Times New Roman" w:hint="default"/>
        <w:b/>
        <w:bCs/>
        <w:w w:val="100"/>
        <w:sz w:val="23"/>
        <w:szCs w:val="23"/>
        <w:lang w:val="en-US" w:eastAsia="en-US" w:bidi="en-US"/>
      </w:rPr>
    </w:lvl>
    <w:lvl w:ilvl="2" w:tplc="DC5896B8">
      <w:numFmt w:val="bullet"/>
      <w:lvlText w:val=""/>
      <w:lvlJc w:val="left"/>
      <w:pPr>
        <w:ind w:left="1539" w:hanging="361"/>
      </w:pPr>
      <w:rPr>
        <w:rFonts w:ascii="Symbol" w:eastAsia="Symbol" w:hAnsi="Symbol" w:cs="Symbol" w:hint="default"/>
        <w:w w:val="100"/>
        <w:sz w:val="22"/>
        <w:szCs w:val="22"/>
        <w:lang w:val="en-US" w:eastAsia="en-US" w:bidi="en-US"/>
      </w:rPr>
    </w:lvl>
    <w:lvl w:ilvl="3" w:tplc="774064D6">
      <w:numFmt w:val="bullet"/>
      <w:lvlText w:val="•"/>
      <w:lvlJc w:val="left"/>
      <w:pPr>
        <w:ind w:left="2590" w:hanging="361"/>
      </w:pPr>
      <w:rPr>
        <w:rFonts w:hint="default"/>
        <w:lang w:val="en-US" w:eastAsia="en-US" w:bidi="en-US"/>
      </w:rPr>
    </w:lvl>
    <w:lvl w:ilvl="4" w:tplc="F82665D8">
      <w:numFmt w:val="bullet"/>
      <w:lvlText w:val="•"/>
      <w:lvlJc w:val="left"/>
      <w:pPr>
        <w:ind w:left="3640" w:hanging="361"/>
      </w:pPr>
      <w:rPr>
        <w:rFonts w:hint="default"/>
        <w:lang w:val="en-US" w:eastAsia="en-US" w:bidi="en-US"/>
      </w:rPr>
    </w:lvl>
    <w:lvl w:ilvl="5" w:tplc="8D4C2622">
      <w:numFmt w:val="bullet"/>
      <w:lvlText w:val="•"/>
      <w:lvlJc w:val="left"/>
      <w:pPr>
        <w:ind w:left="4690" w:hanging="361"/>
      </w:pPr>
      <w:rPr>
        <w:rFonts w:hint="default"/>
        <w:lang w:val="en-US" w:eastAsia="en-US" w:bidi="en-US"/>
      </w:rPr>
    </w:lvl>
    <w:lvl w:ilvl="6" w:tplc="391656FC">
      <w:numFmt w:val="bullet"/>
      <w:lvlText w:val="•"/>
      <w:lvlJc w:val="left"/>
      <w:pPr>
        <w:ind w:left="5740" w:hanging="361"/>
      </w:pPr>
      <w:rPr>
        <w:rFonts w:hint="default"/>
        <w:lang w:val="en-US" w:eastAsia="en-US" w:bidi="en-US"/>
      </w:rPr>
    </w:lvl>
    <w:lvl w:ilvl="7" w:tplc="7A964CF0">
      <w:numFmt w:val="bullet"/>
      <w:lvlText w:val="•"/>
      <w:lvlJc w:val="left"/>
      <w:pPr>
        <w:ind w:left="6790" w:hanging="361"/>
      </w:pPr>
      <w:rPr>
        <w:rFonts w:hint="default"/>
        <w:lang w:val="en-US" w:eastAsia="en-US" w:bidi="en-US"/>
      </w:rPr>
    </w:lvl>
    <w:lvl w:ilvl="8" w:tplc="1EA4C294">
      <w:numFmt w:val="bullet"/>
      <w:lvlText w:val="•"/>
      <w:lvlJc w:val="left"/>
      <w:pPr>
        <w:ind w:left="7840" w:hanging="361"/>
      </w:pPr>
      <w:rPr>
        <w:rFonts w:hint="default"/>
        <w:lang w:val="en-US" w:eastAsia="en-US" w:bidi="en-US"/>
      </w:rPr>
    </w:lvl>
  </w:abstractNum>
  <w:abstractNum w:abstractNumId="2" w15:restartNumberingAfterBreak="0">
    <w:nsid w:val="70D27AB0"/>
    <w:multiLevelType w:val="hybridMultilevel"/>
    <w:tmpl w:val="28A6D052"/>
    <w:lvl w:ilvl="0" w:tplc="4AEA83DA">
      <w:start w:val="1"/>
      <w:numFmt w:val="upperRoman"/>
      <w:lvlText w:val="%1."/>
      <w:lvlJc w:val="left"/>
      <w:pPr>
        <w:ind w:left="820" w:hanging="514"/>
        <w:jc w:val="right"/>
      </w:pPr>
      <w:rPr>
        <w:rFonts w:hint="default"/>
        <w:b/>
        <w:bCs/>
        <w:w w:val="99"/>
        <w:lang w:val="en-US" w:eastAsia="en-US" w:bidi="en-US"/>
      </w:rPr>
    </w:lvl>
    <w:lvl w:ilvl="1" w:tplc="C376412C">
      <w:start w:val="1"/>
      <w:numFmt w:val="decimal"/>
      <w:lvlText w:val="%2."/>
      <w:lvlJc w:val="left"/>
      <w:pPr>
        <w:ind w:left="1179" w:hanging="360"/>
      </w:pPr>
      <w:rPr>
        <w:rFonts w:ascii="Times New Roman" w:eastAsia="Times New Roman" w:hAnsi="Times New Roman" w:cs="Times New Roman" w:hint="default"/>
        <w:b/>
        <w:bCs/>
        <w:w w:val="100"/>
        <w:sz w:val="23"/>
        <w:szCs w:val="23"/>
        <w:lang w:val="en-US" w:eastAsia="en-US" w:bidi="en-US"/>
      </w:rPr>
    </w:lvl>
    <w:lvl w:ilvl="2" w:tplc="A00C7E9E">
      <w:numFmt w:val="bullet"/>
      <w:lvlText w:val=""/>
      <w:lvlJc w:val="left"/>
      <w:pPr>
        <w:ind w:left="1540" w:hanging="361"/>
      </w:pPr>
      <w:rPr>
        <w:rFonts w:ascii="Symbol" w:eastAsia="Symbol" w:hAnsi="Symbol" w:cs="Symbol" w:hint="default"/>
        <w:w w:val="100"/>
        <w:sz w:val="22"/>
        <w:szCs w:val="22"/>
        <w:lang w:val="en-US" w:eastAsia="en-US" w:bidi="en-US"/>
      </w:rPr>
    </w:lvl>
    <w:lvl w:ilvl="3" w:tplc="DAC8CD30">
      <w:numFmt w:val="bullet"/>
      <w:lvlText w:val="•"/>
      <w:lvlJc w:val="left"/>
      <w:pPr>
        <w:ind w:left="2590" w:hanging="361"/>
      </w:pPr>
      <w:rPr>
        <w:rFonts w:hint="default"/>
        <w:lang w:val="en-US" w:eastAsia="en-US" w:bidi="en-US"/>
      </w:rPr>
    </w:lvl>
    <w:lvl w:ilvl="4" w:tplc="2AF8BD06">
      <w:numFmt w:val="bullet"/>
      <w:lvlText w:val="•"/>
      <w:lvlJc w:val="left"/>
      <w:pPr>
        <w:ind w:left="3640" w:hanging="361"/>
      </w:pPr>
      <w:rPr>
        <w:rFonts w:hint="default"/>
        <w:lang w:val="en-US" w:eastAsia="en-US" w:bidi="en-US"/>
      </w:rPr>
    </w:lvl>
    <w:lvl w:ilvl="5" w:tplc="34AAC6D0">
      <w:numFmt w:val="bullet"/>
      <w:lvlText w:val="•"/>
      <w:lvlJc w:val="left"/>
      <w:pPr>
        <w:ind w:left="4690" w:hanging="361"/>
      </w:pPr>
      <w:rPr>
        <w:rFonts w:hint="default"/>
        <w:lang w:val="en-US" w:eastAsia="en-US" w:bidi="en-US"/>
      </w:rPr>
    </w:lvl>
    <w:lvl w:ilvl="6" w:tplc="D22EB9FC">
      <w:numFmt w:val="bullet"/>
      <w:lvlText w:val="•"/>
      <w:lvlJc w:val="left"/>
      <w:pPr>
        <w:ind w:left="5740" w:hanging="361"/>
      </w:pPr>
      <w:rPr>
        <w:rFonts w:hint="default"/>
        <w:lang w:val="en-US" w:eastAsia="en-US" w:bidi="en-US"/>
      </w:rPr>
    </w:lvl>
    <w:lvl w:ilvl="7" w:tplc="B2863F38">
      <w:numFmt w:val="bullet"/>
      <w:lvlText w:val="•"/>
      <w:lvlJc w:val="left"/>
      <w:pPr>
        <w:ind w:left="6790" w:hanging="361"/>
      </w:pPr>
      <w:rPr>
        <w:rFonts w:hint="default"/>
        <w:lang w:val="en-US" w:eastAsia="en-US" w:bidi="en-US"/>
      </w:rPr>
    </w:lvl>
    <w:lvl w:ilvl="8" w:tplc="9B28F978">
      <w:numFmt w:val="bullet"/>
      <w:lvlText w:val="•"/>
      <w:lvlJc w:val="left"/>
      <w:pPr>
        <w:ind w:left="7840" w:hanging="361"/>
      </w:pPr>
      <w:rPr>
        <w:rFonts w:hint="default"/>
        <w:lang w:val="en-US" w:eastAsia="en-US" w:bidi="en-US"/>
      </w:rPr>
    </w:lvl>
  </w:abstractNum>
  <w:num w:numId="1" w16cid:durableId="264853228">
    <w:abstractNumId w:val="0"/>
  </w:num>
  <w:num w:numId="2" w16cid:durableId="920989093">
    <w:abstractNumId w:val="1"/>
  </w:num>
  <w:num w:numId="3" w16cid:durableId="543105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925"/>
    <w:rsid w:val="0008099C"/>
    <w:rsid w:val="00081F30"/>
    <w:rsid w:val="001169B2"/>
    <w:rsid w:val="00180F3A"/>
    <w:rsid w:val="00295A48"/>
    <w:rsid w:val="002B7B82"/>
    <w:rsid w:val="002E1662"/>
    <w:rsid w:val="002E29D3"/>
    <w:rsid w:val="00347523"/>
    <w:rsid w:val="003B43EB"/>
    <w:rsid w:val="00473E22"/>
    <w:rsid w:val="004D7AEF"/>
    <w:rsid w:val="005E6F4D"/>
    <w:rsid w:val="00695DD3"/>
    <w:rsid w:val="007E3925"/>
    <w:rsid w:val="009271D1"/>
    <w:rsid w:val="00AC202C"/>
    <w:rsid w:val="00BA73F5"/>
    <w:rsid w:val="00BF40FB"/>
    <w:rsid w:val="00C345C4"/>
    <w:rsid w:val="00C86CC3"/>
    <w:rsid w:val="00C9599B"/>
    <w:rsid w:val="00DD568C"/>
    <w:rsid w:val="00DE0711"/>
    <w:rsid w:val="00DE1A1D"/>
    <w:rsid w:val="00E654A4"/>
    <w:rsid w:val="00F86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E18D9"/>
  <w15:docId w15:val="{5215ED5A-F062-4E01-8979-3BE08991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085" w:right="1746"/>
      <w:jc w:val="center"/>
      <w:outlineLvl w:val="0"/>
    </w:pPr>
    <w:rPr>
      <w:b/>
      <w:bCs/>
      <w:sz w:val="28"/>
      <w:szCs w:val="28"/>
    </w:rPr>
  </w:style>
  <w:style w:type="paragraph" w:styleId="Heading2">
    <w:name w:val="heading 2"/>
    <w:basedOn w:val="Normal"/>
    <w:uiPriority w:val="9"/>
    <w:unhideWhenUsed/>
    <w:qFormat/>
    <w:pPr>
      <w:ind w:left="820" w:hanging="60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95DD3"/>
    <w:rPr>
      <w:color w:val="0000FF" w:themeColor="hyperlink"/>
      <w:u w:val="single"/>
    </w:rPr>
  </w:style>
  <w:style w:type="character" w:customStyle="1" w:styleId="UnresolvedMention1">
    <w:name w:val="Unresolved Mention1"/>
    <w:basedOn w:val="DefaultParagraphFont"/>
    <w:uiPriority w:val="99"/>
    <w:semiHidden/>
    <w:unhideWhenUsed/>
    <w:rsid w:val="00695DD3"/>
    <w:rPr>
      <w:color w:val="605E5C"/>
      <w:shd w:val="clear" w:color="auto" w:fill="E1DFDD"/>
    </w:rPr>
  </w:style>
  <w:style w:type="paragraph" w:styleId="Header">
    <w:name w:val="header"/>
    <w:basedOn w:val="Normal"/>
    <w:link w:val="HeaderChar"/>
    <w:uiPriority w:val="99"/>
    <w:unhideWhenUsed/>
    <w:rsid w:val="00695DD3"/>
    <w:pPr>
      <w:tabs>
        <w:tab w:val="center" w:pos="4680"/>
        <w:tab w:val="right" w:pos="9360"/>
      </w:tabs>
    </w:pPr>
  </w:style>
  <w:style w:type="character" w:customStyle="1" w:styleId="HeaderChar">
    <w:name w:val="Header Char"/>
    <w:basedOn w:val="DefaultParagraphFont"/>
    <w:link w:val="Header"/>
    <w:uiPriority w:val="99"/>
    <w:rsid w:val="00695DD3"/>
    <w:rPr>
      <w:rFonts w:ascii="Times New Roman" w:eastAsia="Times New Roman" w:hAnsi="Times New Roman" w:cs="Times New Roman"/>
      <w:lang w:bidi="en-US"/>
    </w:rPr>
  </w:style>
  <w:style w:type="paragraph" w:styleId="Footer">
    <w:name w:val="footer"/>
    <w:basedOn w:val="Normal"/>
    <w:link w:val="FooterChar"/>
    <w:uiPriority w:val="99"/>
    <w:unhideWhenUsed/>
    <w:rsid w:val="00695DD3"/>
    <w:pPr>
      <w:tabs>
        <w:tab w:val="center" w:pos="4680"/>
        <w:tab w:val="right" w:pos="9360"/>
      </w:tabs>
    </w:pPr>
  </w:style>
  <w:style w:type="character" w:customStyle="1" w:styleId="FooterChar">
    <w:name w:val="Footer Char"/>
    <w:basedOn w:val="DefaultParagraphFont"/>
    <w:link w:val="Footer"/>
    <w:uiPriority w:val="99"/>
    <w:rsid w:val="00695DD3"/>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08099C"/>
    <w:rPr>
      <w:sz w:val="16"/>
      <w:szCs w:val="16"/>
    </w:rPr>
  </w:style>
  <w:style w:type="paragraph" w:styleId="CommentText">
    <w:name w:val="annotation text"/>
    <w:basedOn w:val="Normal"/>
    <w:link w:val="CommentTextChar"/>
    <w:uiPriority w:val="99"/>
    <w:semiHidden/>
    <w:unhideWhenUsed/>
    <w:rsid w:val="0008099C"/>
    <w:rPr>
      <w:sz w:val="20"/>
      <w:szCs w:val="20"/>
    </w:rPr>
  </w:style>
  <w:style w:type="character" w:customStyle="1" w:styleId="CommentTextChar">
    <w:name w:val="Comment Text Char"/>
    <w:basedOn w:val="DefaultParagraphFont"/>
    <w:link w:val="CommentText"/>
    <w:uiPriority w:val="99"/>
    <w:semiHidden/>
    <w:rsid w:val="0008099C"/>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8099C"/>
    <w:rPr>
      <w:b/>
      <w:bCs/>
    </w:rPr>
  </w:style>
  <w:style w:type="character" w:customStyle="1" w:styleId="CommentSubjectChar">
    <w:name w:val="Comment Subject Char"/>
    <w:basedOn w:val="CommentTextChar"/>
    <w:link w:val="CommentSubject"/>
    <w:uiPriority w:val="99"/>
    <w:semiHidden/>
    <w:rsid w:val="0008099C"/>
    <w:rPr>
      <w:rFonts w:ascii="Times New Roman" w:eastAsia="Times New Roman" w:hAnsi="Times New Roman" w:cs="Times New Roman"/>
      <w:b/>
      <w:bCs/>
      <w:sz w:val="20"/>
      <w:szCs w:val="20"/>
      <w:lang w:bidi="en-US"/>
    </w:rPr>
  </w:style>
  <w:style w:type="paragraph" w:styleId="Revision">
    <w:name w:val="Revision"/>
    <w:hidden/>
    <w:uiPriority w:val="99"/>
    <w:semiHidden/>
    <w:rsid w:val="00DD568C"/>
    <w:pPr>
      <w:widowControl/>
      <w:autoSpaceDE/>
      <w:autoSpaceDN/>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C9599B"/>
    <w:rPr>
      <w:rFonts w:ascii="Times New Roman" w:eastAsia="Times New Roman" w:hAnsi="Times New Roman" w:cs="Times New Roman"/>
      <w:sz w:val="23"/>
      <w:szCs w:val="23"/>
      <w:lang w:bidi="en-US"/>
    </w:rPr>
  </w:style>
  <w:style w:type="character" w:styleId="UnresolvedMention">
    <w:name w:val="Unresolved Mention"/>
    <w:basedOn w:val="DefaultParagraphFont"/>
    <w:uiPriority w:val="99"/>
    <w:rsid w:val="00C34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briann.padrutt@wisconsin.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reau xmlns="7a61c4ba-b021-40cd-af10-78a6188bfae5"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4" ma:contentTypeDescription="Create a new document." ma:contentTypeScope="" ma:versionID="a4d41b613a18788b02a9eb6ca837dfa7">
  <xsd:schema xmlns:xsd="http://www.w3.org/2001/XMLSchema" xmlns:xs="http://www.w3.org/2001/XMLSchema" xmlns:p="http://schemas.microsoft.com/office/2006/metadata/properties" xmlns:ns1="http://schemas.microsoft.com/sharepoint/v3" xmlns:ns2="10f2cb44-b37d-4693-a5c3-140ab663d372" xmlns:ns3="7a61c4ba-b021-40cd-af10-78a6188bfae5" xmlns:ns4="fb82bcdf-ea63-4554-99e3-e15ccd87b479" targetNamespace="http://schemas.microsoft.com/office/2006/metadata/properties" ma:root="true" ma:fieldsID="d3f33910585c4c2e97c304e6f603e1e6" ns1:_="" ns2:_="" ns3:_="" ns4:_="">
    <xsd:import namespace="http://schemas.microsoft.com/sharepoint/v3"/>
    <xsd:import namespace="10f2cb44-b37d-4693-a5c3-140ab663d372"/>
    <xsd:import namespace="7a61c4ba-b021-40cd-af10-78a6188bfae5"/>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Bureau"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a61c4ba-b021-40cd-af10-78a6188bfae5" elementFormDefault="qualified">
    <xsd:import namespace="http://schemas.microsoft.com/office/2006/documentManagement/types"/>
    <xsd:import namespace="http://schemas.microsoft.com/office/infopath/2007/PartnerControls"/>
    <xsd:element name="Bureau" ma:index="13" nillable="true" ma:displayName="Bureau" ma:format="Dropdown" ma:internalName="Bureau">
      <xsd:simpleType>
        <xsd:restriction base="dms:Choice">
          <xsd:enumeration value="BCER"/>
          <xsd:enumeration value="BEI"/>
          <xsd:enumeration value="BMRS"/>
          <xsd:enumeration value="Central Benefits &amp; Payroll"/>
          <xsd:enumeration value="DIR"/>
          <xsd:enumeration value="HR Services"/>
        </xsd:restrictio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8886916-D662-4A63-B7B1-5E18064166A4}">
  <ds:schemaRefs>
    <ds:schemaRef ds:uri="http://schemas.microsoft.com/office/2006/metadata/properties"/>
    <ds:schemaRef ds:uri="http://schemas.microsoft.com/office/infopath/2007/PartnerControls"/>
    <ds:schemaRef ds:uri="80311bc3-15f0-4650-b260-9922a2827d96"/>
    <ds:schemaRef ds:uri="d316521b-85d1-4d97-b77a-fdbe68a398ff"/>
  </ds:schemaRefs>
</ds:datastoreItem>
</file>

<file path=customXml/itemProps2.xml><?xml version="1.0" encoding="utf-8"?>
<ds:datastoreItem xmlns:ds="http://schemas.openxmlformats.org/officeDocument/2006/customXml" ds:itemID="{8A80DAA0-86CC-45F0-86E1-23BB0DC4B8F0}">
  <ds:schemaRefs>
    <ds:schemaRef ds:uri="http://schemas.microsoft.com/sharepoint/v3/contenttype/forms"/>
  </ds:schemaRefs>
</ds:datastoreItem>
</file>

<file path=customXml/itemProps3.xml><?xml version="1.0" encoding="utf-8"?>
<ds:datastoreItem xmlns:ds="http://schemas.openxmlformats.org/officeDocument/2006/customXml" ds:itemID="{E98DF403-74A5-4F25-B1C8-C07690038123}"/>
</file>

<file path=customXml/itemProps4.xml><?xml version="1.0" encoding="utf-8"?>
<ds:datastoreItem xmlns:ds="http://schemas.openxmlformats.org/officeDocument/2006/customXml" ds:itemID="{2472CE12-E49A-4F97-B852-27CCCC6AE9D1}">
  <ds:schemaRefs>
    <ds:schemaRef ds:uri="http://schemas.openxmlformats.org/officeDocument/2006/bibliography"/>
  </ds:schemaRefs>
</ds:datastoreItem>
</file>

<file path=customXml/itemProps5.xml><?xml version="1.0" encoding="utf-8"?>
<ds:datastoreItem xmlns:ds="http://schemas.openxmlformats.org/officeDocument/2006/customXml" ds:itemID="{17B13B77-85C8-4342-A5FA-64C2A8A79920}"/>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Ingersoll, Haley N - DOA</dc:creator>
  <cp:lastModifiedBy>Padrutt, Briann L - DOA</cp:lastModifiedBy>
  <cp:revision>6</cp:revision>
  <dcterms:created xsi:type="dcterms:W3CDTF">2025-06-02T12:25:00Z</dcterms:created>
  <dcterms:modified xsi:type="dcterms:W3CDTF">2025-10-16T15:43:00Z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2019-08-01T00:00:00Z</vt:filetime>
  </property>
  <property fmtid="{D5CDD505-2E9C-101B-9397-08002B2CF9AE}" pid="3" name="Creator">
    <vt:lpwstr>Acrobat PDFMaker 17 for Word</vt:lpwstr>
  </property>
  <property fmtid="{D5CDD505-2E9C-101B-9397-08002B2CF9AE}" pid="4" name="LastSaved">
    <vt:filetime>2021-05-17T00:00:00Z</vt:filetime>
  </property>
  <property fmtid="{D5CDD505-2E9C-101B-9397-08002B2CF9AE}" pid="5" name="ContentTypeId">
    <vt:lpwstr>0x010100E9B479DE97358D43AEB72738EE1F2D08</vt:lpwstr>
  </property>
</Properties>
</file>