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F7C51" w14:textId="46FB77D7" w:rsidR="00912A93" w:rsidRDefault="00912A93" w:rsidP="00912A93">
      <w:r w:rsidRPr="003D0DE5">
        <w:rPr>
          <w:b/>
        </w:rPr>
        <w:t>Recipients:</w:t>
      </w:r>
      <w:r>
        <w:t xml:space="preserve"> </w:t>
      </w:r>
      <w:bookmarkStart w:id="0" w:name="_Hlk524952392"/>
      <w:r>
        <w:t xml:space="preserve">All </w:t>
      </w:r>
      <w:r w:rsidR="003F5C35">
        <w:t>benefits-eligible employees (non-DEF benefit program)</w:t>
      </w:r>
      <w:bookmarkEnd w:id="0"/>
      <w:r w:rsidR="00676C37">
        <w:t xml:space="preserve"> </w:t>
      </w:r>
    </w:p>
    <w:p w14:paraId="699128E2" w14:textId="0B370B28" w:rsidR="00D3599C" w:rsidRDefault="00912A93" w:rsidP="00912A93">
      <w:r w:rsidRPr="003D0DE5">
        <w:rPr>
          <w:b/>
        </w:rPr>
        <w:t>Query:</w:t>
      </w:r>
      <w:r w:rsidR="00676C37">
        <w:rPr>
          <w:b/>
        </w:rPr>
        <w:t xml:space="preserve"> </w:t>
      </w:r>
      <w:r w:rsidR="00702573" w:rsidRPr="00702573">
        <w:t>OE_202</w:t>
      </w:r>
      <w:r w:rsidR="00BD7D0D">
        <w:t>6</w:t>
      </w:r>
      <w:r w:rsidR="00702573" w:rsidRPr="00702573">
        <w:t>_BEN_ELIG</w:t>
      </w:r>
      <w:r w:rsidR="003653AE">
        <w:t xml:space="preserve"> </w:t>
      </w:r>
    </w:p>
    <w:p w14:paraId="6A0C9737" w14:textId="268A4002" w:rsidR="00702573" w:rsidRDefault="00D3599C" w:rsidP="00D3599C">
      <w:pPr>
        <w:pStyle w:val="ListParagraph"/>
        <w:numPr>
          <w:ilvl w:val="0"/>
          <w:numId w:val="3"/>
        </w:numPr>
      </w:pPr>
      <w:r>
        <w:t>T</w:t>
      </w:r>
      <w:r w:rsidR="00C35CB2">
        <w:t>his query takes some time to run so please be patient….</w:t>
      </w:r>
    </w:p>
    <w:p w14:paraId="1A78C780" w14:textId="3E1BBD8F" w:rsidR="00D3599C" w:rsidRDefault="00D3599C" w:rsidP="00D3599C">
      <w:pPr>
        <w:pStyle w:val="ListParagraph"/>
        <w:numPr>
          <w:ilvl w:val="0"/>
          <w:numId w:val="3"/>
        </w:numPr>
      </w:pPr>
      <w:r>
        <w:t xml:space="preserve">The business email address is listed in Column G.  If </w:t>
      </w:r>
      <w:proofErr w:type="gramStart"/>
      <w:r>
        <w:t>the business</w:t>
      </w:r>
      <w:proofErr w:type="gramEnd"/>
      <w:r>
        <w:t xml:space="preserve"> email is not the preferred email, the preferred email is listed in Column H.</w:t>
      </w:r>
    </w:p>
    <w:p w14:paraId="2F4B1FF3" w14:textId="3087DCFD" w:rsidR="00912A93" w:rsidRDefault="00912A93" w:rsidP="00912A93">
      <w:pPr>
        <w:rPr>
          <w:b/>
        </w:rPr>
      </w:pPr>
      <w:r>
        <w:rPr>
          <w:b/>
        </w:rPr>
        <w:t>Target Send Date</w:t>
      </w:r>
      <w:r w:rsidR="00B578C0">
        <w:rPr>
          <w:b/>
        </w:rPr>
        <w:t xml:space="preserve"> by Agency</w:t>
      </w:r>
      <w:r>
        <w:rPr>
          <w:b/>
        </w:rPr>
        <w:t>:</w:t>
      </w:r>
      <w:r w:rsidRPr="003D0DE5">
        <w:t xml:space="preserve"> </w:t>
      </w:r>
      <w:r w:rsidR="00BD7D0D">
        <w:t>Oct 1 – 3, 2025</w:t>
      </w:r>
    </w:p>
    <w:p w14:paraId="70157009" w14:textId="4C27B5DA" w:rsidR="00912A93" w:rsidRDefault="00912A93" w:rsidP="00912A93">
      <w:r w:rsidRPr="003D0DE5">
        <w:rPr>
          <w:b/>
        </w:rPr>
        <w:t>Email Subject:</w:t>
      </w:r>
      <w:r>
        <w:t xml:space="preserve"> Open Enrollment Begins </w:t>
      </w:r>
      <w:r w:rsidR="00BD7D0D">
        <w:t>October 6</w:t>
      </w:r>
      <w:r w:rsidR="00BD7D0D" w:rsidRPr="00BD7D0D">
        <w:rPr>
          <w:vertAlign w:val="superscript"/>
        </w:rPr>
        <w:t>th</w:t>
      </w:r>
      <w:r w:rsidR="00BD7D0D">
        <w:t xml:space="preserve"> </w:t>
      </w:r>
      <w:r w:rsidR="000F4079">
        <w:t xml:space="preserve"> </w:t>
      </w:r>
    </w:p>
    <w:p w14:paraId="01780368" w14:textId="77777777" w:rsidR="00912A93" w:rsidRPr="003D0DE5" w:rsidRDefault="00912A93" w:rsidP="00912A93">
      <w:pPr>
        <w:rPr>
          <w:b/>
        </w:rPr>
      </w:pPr>
      <w:r w:rsidRPr="003D0DE5">
        <w:rPr>
          <w:b/>
        </w:rPr>
        <w:t>Text:</w:t>
      </w:r>
    </w:p>
    <w:p w14:paraId="4C6AA065" w14:textId="0298809B" w:rsidR="009A0FE7" w:rsidRDefault="00912A93">
      <w:r>
        <w:t xml:space="preserve">This year’s Open Enrollment period is </w:t>
      </w:r>
      <w:r w:rsidR="00BD7D0D">
        <w:t>October 6 - October 31, 2025</w:t>
      </w:r>
      <w:r>
        <w:t xml:space="preserve">.  All enrollments made during this period </w:t>
      </w:r>
      <w:r w:rsidR="002D67AA">
        <w:t>will be</w:t>
      </w:r>
      <w:r>
        <w:t xml:space="preserve"> effective January 1, 20</w:t>
      </w:r>
      <w:r w:rsidR="000F4079">
        <w:t>2</w:t>
      </w:r>
      <w:r w:rsidR="00BD7D0D">
        <w:t>6</w:t>
      </w:r>
      <w:r>
        <w:t>.</w:t>
      </w:r>
      <w:r w:rsidR="00702573">
        <w:t xml:space="preserve">  </w:t>
      </w:r>
    </w:p>
    <w:p w14:paraId="58C93A04" w14:textId="77777777" w:rsidR="006F177A" w:rsidRDefault="006F177A" w:rsidP="006F177A">
      <w:r>
        <w:t>The Open Enrollment Period is your annual chance to enroll in, change or cancel the following benefits:</w:t>
      </w:r>
    </w:p>
    <w:p w14:paraId="3AC399F9" w14:textId="5E29E6AE" w:rsidR="006F177A" w:rsidRDefault="006F177A" w:rsidP="00340623">
      <w:pPr>
        <w:pStyle w:val="ListParagraph"/>
        <w:numPr>
          <w:ilvl w:val="0"/>
          <w:numId w:val="1"/>
        </w:numPr>
        <w:spacing w:after="120"/>
        <w:contextualSpacing w:val="0"/>
      </w:pPr>
      <w:r>
        <w:t>State Group Health, Vision</w:t>
      </w:r>
      <w:r w:rsidR="00FC45D1">
        <w:t xml:space="preserve">, </w:t>
      </w:r>
      <w:r w:rsidR="00B30E48">
        <w:t xml:space="preserve">Dental </w:t>
      </w:r>
      <w:r w:rsidR="00FC45D1">
        <w:t xml:space="preserve">and </w:t>
      </w:r>
      <w:r w:rsidR="00B30E48">
        <w:t>Accident Plan</w:t>
      </w:r>
      <w:r>
        <w:t xml:space="preserve"> Insurance</w:t>
      </w:r>
    </w:p>
    <w:p w14:paraId="7CF6BC38" w14:textId="6AF35D17" w:rsidR="006F177A" w:rsidRDefault="006F177A" w:rsidP="00340623">
      <w:pPr>
        <w:pStyle w:val="ListParagraph"/>
        <w:numPr>
          <w:ilvl w:val="0"/>
          <w:numId w:val="1"/>
        </w:numPr>
        <w:spacing w:after="120"/>
        <w:contextualSpacing w:val="0"/>
      </w:pPr>
      <w:r>
        <w:t xml:space="preserve">Pre-Tax Savings </w:t>
      </w:r>
      <w:r w:rsidR="003653AE">
        <w:t>Accounts</w:t>
      </w:r>
      <w:r>
        <w:t xml:space="preserve"> (Healthcare Flexible Spending Account (FSA), </w:t>
      </w:r>
      <w:r w:rsidR="009268CB">
        <w:t xml:space="preserve">Limited Purpose FSA, </w:t>
      </w:r>
      <w:r>
        <w:t>Dependent Day Care FSA, Parking and Transit Accounts and Health Savings Account)</w:t>
      </w:r>
      <w:r w:rsidR="00FC45D1">
        <w:t xml:space="preserve"> – must re-enroll for 202</w:t>
      </w:r>
      <w:r w:rsidR="00BD7D0D">
        <w:t>6</w:t>
      </w:r>
    </w:p>
    <w:p w14:paraId="209FBD96" w14:textId="670CE28E" w:rsidR="006F177A" w:rsidRPr="004524FE" w:rsidRDefault="006F177A" w:rsidP="00340623">
      <w:pPr>
        <w:pStyle w:val="ListParagraph"/>
        <w:numPr>
          <w:ilvl w:val="0"/>
          <w:numId w:val="1"/>
        </w:numPr>
        <w:spacing w:after="120"/>
        <w:contextualSpacing w:val="0"/>
      </w:pPr>
      <w:r>
        <w:t>Health Insurance Opt-Out Stipend</w:t>
      </w:r>
      <w:r w:rsidR="00FC45D1">
        <w:t xml:space="preserve"> – must re-enroll for 202</w:t>
      </w:r>
      <w:r w:rsidR="00BD7D0D">
        <w:t>6</w:t>
      </w:r>
    </w:p>
    <w:p w14:paraId="1CD130F7" w14:textId="15E70227" w:rsidR="009268CB" w:rsidRPr="00D3599C" w:rsidRDefault="009268CB" w:rsidP="009268CB">
      <w:pPr>
        <w:rPr>
          <w:b/>
          <w:bCs/>
        </w:rPr>
      </w:pPr>
      <w:r w:rsidRPr="00D3599C">
        <w:rPr>
          <w:b/>
          <w:bCs/>
        </w:rPr>
        <w:t>What’s New for 202</w:t>
      </w:r>
      <w:r w:rsidR="00BD7D0D">
        <w:rPr>
          <w:b/>
          <w:bCs/>
        </w:rPr>
        <w:t>6</w:t>
      </w:r>
    </w:p>
    <w:p w14:paraId="7B604B7A" w14:textId="1B2A6729" w:rsidR="00BD7D0D" w:rsidRPr="00BD7D0D" w:rsidRDefault="00BD7D0D" w:rsidP="001E7CFA">
      <w:pPr>
        <w:numPr>
          <w:ilvl w:val="0"/>
          <w:numId w:val="4"/>
        </w:numPr>
        <w:spacing w:after="120" w:line="240" w:lineRule="auto"/>
        <w:rPr>
          <w:rFonts w:ascii="Calibri" w:eastAsia="Times New Roman" w:hAnsi="Calibri" w:cs="Calibri"/>
        </w:rPr>
      </w:pPr>
      <w:r>
        <w:t xml:space="preserve">The following health plans will have name changes for 2026.  If an employee is currently enrolled, no action is required to continue coverage with the health plan.  </w:t>
      </w:r>
    </w:p>
    <w:p w14:paraId="246EBC72" w14:textId="77777777" w:rsidR="002E4AA3" w:rsidRPr="002E4AA3" w:rsidRDefault="002E4AA3" w:rsidP="002E4AA3">
      <w:pPr>
        <w:pStyle w:val="ListParagraph"/>
        <w:numPr>
          <w:ilvl w:val="1"/>
          <w:numId w:val="4"/>
        </w:numPr>
        <w:rPr>
          <w:sz w:val="20"/>
          <w:szCs w:val="20"/>
        </w:rPr>
      </w:pPr>
      <w:r w:rsidRPr="002E4AA3">
        <w:rPr>
          <w:sz w:val="20"/>
          <w:szCs w:val="20"/>
        </w:rPr>
        <w:t>Dean Health Plan- Medica West and Mayo Clinic Health System will now be known as Medica West and Mayo Clinic.</w:t>
      </w:r>
    </w:p>
    <w:p w14:paraId="47401809" w14:textId="77777777" w:rsidR="002E4AA3" w:rsidRPr="002E4AA3" w:rsidRDefault="002E4AA3" w:rsidP="002E4AA3">
      <w:pPr>
        <w:pStyle w:val="ListParagraph"/>
        <w:numPr>
          <w:ilvl w:val="1"/>
          <w:numId w:val="4"/>
        </w:numPr>
        <w:rPr>
          <w:sz w:val="20"/>
          <w:szCs w:val="20"/>
        </w:rPr>
      </w:pPr>
      <w:r w:rsidRPr="002E4AA3">
        <w:rPr>
          <w:sz w:val="20"/>
          <w:szCs w:val="20"/>
        </w:rPr>
        <w:t>Dean Prevea360 East now be known as Prevea360 East.</w:t>
      </w:r>
    </w:p>
    <w:p w14:paraId="00E6FB13" w14:textId="77777777" w:rsidR="002E4AA3" w:rsidRPr="002E4AA3" w:rsidRDefault="002E4AA3" w:rsidP="002E4AA3">
      <w:pPr>
        <w:pStyle w:val="ListParagraph"/>
        <w:numPr>
          <w:ilvl w:val="1"/>
          <w:numId w:val="4"/>
        </w:numPr>
        <w:rPr>
          <w:sz w:val="20"/>
          <w:szCs w:val="20"/>
        </w:rPr>
      </w:pPr>
      <w:r w:rsidRPr="002E4AA3">
        <w:rPr>
          <w:sz w:val="20"/>
          <w:szCs w:val="20"/>
        </w:rPr>
        <w:t xml:space="preserve">Common Ground will now be known as CareSource.  </w:t>
      </w:r>
    </w:p>
    <w:p w14:paraId="6868C69A" w14:textId="24466817" w:rsidR="00BD7D0D" w:rsidRPr="00BD7D0D" w:rsidRDefault="00BD7D0D" w:rsidP="00BD7D0D">
      <w:pPr>
        <w:numPr>
          <w:ilvl w:val="0"/>
          <w:numId w:val="4"/>
        </w:numPr>
        <w:spacing w:after="120" w:line="240" w:lineRule="auto"/>
        <w:rPr>
          <w:rFonts w:ascii="Calibri" w:eastAsia="Times New Roman" w:hAnsi="Calibri" w:cs="Calibri"/>
        </w:rPr>
      </w:pPr>
      <w:r>
        <w:rPr>
          <w:rFonts w:ascii="Calibri" w:eastAsia="Times New Roman" w:hAnsi="Calibri" w:cs="Calibri"/>
        </w:rPr>
        <w:t>There is a new Vision insurance vendor.  Coverage will be changing from DeltaVision to MetLife Vision.  Employees will not receive an ID card for MetLife coverage.  Employees do not need to make an election to stay in the vision plan.</w:t>
      </w:r>
    </w:p>
    <w:p w14:paraId="66DC506A" w14:textId="176BF79A" w:rsidR="00BD7D0D" w:rsidRPr="00BD7D0D" w:rsidRDefault="00BD7D0D" w:rsidP="00BD7D0D">
      <w:pPr>
        <w:numPr>
          <w:ilvl w:val="0"/>
          <w:numId w:val="4"/>
        </w:numPr>
        <w:spacing w:after="120" w:line="240" w:lineRule="auto"/>
        <w:rPr>
          <w:rFonts w:ascii="Calibri" w:eastAsia="Times New Roman" w:hAnsi="Calibri" w:cs="Calibri"/>
        </w:rPr>
      </w:pPr>
      <w:r>
        <w:rPr>
          <w:rFonts w:ascii="Calibri" w:eastAsia="Times New Roman" w:hAnsi="Calibri" w:cs="Calibri"/>
        </w:rPr>
        <w:t>Total Administrative Service Corporation (TASC) is the new administrator for pre-tax saving accounts.  TASC replaces Optum for administering these accounts. Employees must re-enroll every year to participate in these plans.</w:t>
      </w:r>
    </w:p>
    <w:p w14:paraId="45B652F8" w14:textId="2FF688C6" w:rsidR="009B7209" w:rsidRPr="009B7209" w:rsidRDefault="009B7209" w:rsidP="00BD7D0D">
      <w:pPr>
        <w:numPr>
          <w:ilvl w:val="0"/>
          <w:numId w:val="4"/>
        </w:numPr>
        <w:spacing w:after="120" w:line="240" w:lineRule="auto"/>
        <w:rPr>
          <w:rFonts w:ascii="Calibri" w:eastAsia="Times New Roman" w:hAnsi="Calibri" w:cs="Calibri"/>
        </w:rPr>
      </w:pPr>
      <w:r>
        <w:t xml:space="preserve">The annual medical deductible for the </w:t>
      </w:r>
      <w:r w:rsidR="000B4AB8">
        <w:t>High-Deductible</w:t>
      </w:r>
      <w:r>
        <w:t xml:space="preserve"> Health Plan (HDHP) and Access HDHP plans will increase to $1,</w:t>
      </w:r>
      <w:r w:rsidR="00080F95">
        <w:t>700</w:t>
      </w:r>
      <w:r>
        <w:t xml:space="preserve"> for an individual and $3,</w:t>
      </w:r>
      <w:r w:rsidR="00080F95">
        <w:t>4</w:t>
      </w:r>
      <w:r>
        <w:t>00 for family coverage.</w:t>
      </w:r>
    </w:p>
    <w:p w14:paraId="3C05235A" w14:textId="4A3079E1" w:rsidR="009B7209" w:rsidRPr="009B7209" w:rsidRDefault="009B7209" w:rsidP="001E7CFA">
      <w:pPr>
        <w:numPr>
          <w:ilvl w:val="0"/>
          <w:numId w:val="4"/>
        </w:numPr>
        <w:spacing w:after="120" w:line="240" w:lineRule="auto"/>
        <w:rPr>
          <w:rFonts w:ascii="Calibri" w:eastAsia="Times New Roman" w:hAnsi="Calibri" w:cs="Calibri"/>
        </w:rPr>
      </w:pPr>
      <w:r>
        <w:t>The annual Health Savings Account employer contribution for employees covered by an HDHP wi</w:t>
      </w:r>
      <w:r w:rsidR="005A2E9E">
        <w:t>ll</w:t>
      </w:r>
      <w:r>
        <w:t xml:space="preserve"> increase to $8</w:t>
      </w:r>
      <w:r w:rsidR="00080F95">
        <w:t>52</w:t>
      </w:r>
      <w:r>
        <w:t xml:space="preserve"> for an individual and $1,</w:t>
      </w:r>
      <w:r w:rsidR="00080F95">
        <w:t>704</w:t>
      </w:r>
      <w:r>
        <w:t xml:space="preserve"> for family coverage.</w:t>
      </w:r>
    </w:p>
    <w:p w14:paraId="5BAA33F4" w14:textId="77777777" w:rsidR="00080F95" w:rsidRPr="00080F95" w:rsidRDefault="00080F95" w:rsidP="001E7CFA">
      <w:pPr>
        <w:numPr>
          <w:ilvl w:val="0"/>
          <w:numId w:val="4"/>
        </w:numPr>
        <w:spacing w:after="120" w:line="240" w:lineRule="auto"/>
        <w:rPr>
          <w:rFonts w:ascii="Calibri" w:eastAsia="Times New Roman" w:hAnsi="Calibri" w:cs="Calibri"/>
        </w:rPr>
      </w:pPr>
      <w:r w:rsidRPr="00080F95">
        <w:t>Coverage of Continuous Glucose Monitors (CGMs) will only be under the pharmacy benefit through Navitus</w:t>
      </w:r>
      <w:r>
        <w:t>.</w:t>
      </w:r>
    </w:p>
    <w:p w14:paraId="76F5BEE8" w14:textId="77777777" w:rsidR="002E4AA3" w:rsidRDefault="002E4AA3" w:rsidP="001E7CFA">
      <w:pPr>
        <w:rPr>
          <w:b/>
        </w:rPr>
      </w:pPr>
    </w:p>
    <w:p w14:paraId="3CC40DBB" w14:textId="733FF061" w:rsidR="001E7CFA" w:rsidRDefault="001E7CFA" w:rsidP="001E7CFA">
      <w:pPr>
        <w:rPr>
          <w:b/>
        </w:rPr>
      </w:pPr>
      <w:r>
        <w:rPr>
          <w:b/>
        </w:rPr>
        <w:lastRenderedPageBreak/>
        <w:t>Benefits Fair</w:t>
      </w:r>
    </w:p>
    <w:p w14:paraId="484F9FF7" w14:textId="478F99C3" w:rsidR="001E7CFA" w:rsidRPr="00290CBA" w:rsidRDefault="006F177A" w:rsidP="001E7CFA">
      <w:pPr>
        <w:spacing w:before="100" w:beforeAutospacing="1" w:after="100" w:afterAutospacing="1" w:line="240" w:lineRule="auto"/>
        <w:rPr>
          <w:color w:val="FF0000"/>
        </w:rPr>
      </w:pPr>
      <w:r w:rsidRPr="006F177A">
        <w:rPr>
          <w:highlight w:val="yellow"/>
        </w:rPr>
        <w:t>AGENCY PUT IN APPLICABLE LANGUAGE</w:t>
      </w:r>
      <w:proofErr w:type="gramStart"/>
      <w:r w:rsidRPr="006F177A">
        <w:rPr>
          <w:highlight w:val="yellow"/>
        </w:rPr>
        <w:t>:</w:t>
      </w:r>
      <w:r>
        <w:t xml:space="preserve">  </w:t>
      </w:r>
      <w:r w:rsidR="001E7CFA" w:rsidRPr="00290CBA">
        <w:t>We</w:t>
      </w:r>
      <w:proofErr w:type="gramEnd"/>
      <w:r w:rsidR="001E7CFA" w:rsidRPr="00290CBA">
        <w:t xml:space="preserve"> are hosting a benefits fair on </w:t>
      </w:r>
      <w:r w:rsidR="001E7CFA" w:rsidRPr="00290CBA">
        <w:rPr>
          <w:color w:val="FF0000"/>
        </w:rPr>
        <w:t>&lt;&lt;ADD AGENCY INFO HERE&gt;&gt;</w:t>
      </w:r>
      <w:r>
        <w:rPr>
          <w:color w:val="FF0000"/>
        </w:rPr>
        <w:t xml:space="preserve"> </w:t>
      </w:r>
    </w:p>
    <w:p w14:paraId="3B2224B5" w14:textId="6B1B9814" w:rsidR="00B30E48" w:rsidRPr="00290CBA" w:rsidRDefault="00B30E48" w:rsidP="00B30E48">
      <w:pPr>
        <w:spacing w:before="100" w:beforeAutospacing="1" w:after="100" w:afterAutospacing="1" w:line="240" w:lineRule="auto"/>
      </w:pPr>
      <w:bookmarkStart w:id="1" w:name="_Hlk50973727"/>
      <w:bookmarkStart w:id="2" w:name="_Hlk114479634"/>
      <w:r>
        <w:t xml:space="preserve">The Department of Employee Trust Funds is hosting a series of informational </w:t>
      </w:r>
      <w:r w:rsidR="00AE10FB">
        <w:t>forums</w:t>
      </w:r>
      <w:r>
        <w:t xml:space="preserve">. </w:t>
      </w:r>
      <w:bookmarkEnd w:id="1"/>
      <w:r>
        <w:t xml:space="preserve">Look for </w:t>
      </w:r>
      <w:r w:rsidR="00AE10FB">
        <w:t>forum</w:t>
      </w:r>
      <w:r>
        <w:t xml:space="preserve"> dates and registration links on the </w:t>
      </w:r>
      <w:hyperlink r:id="rId6" w:history="1">
        <w:r w:rsidR="00AE10FB" w:rsidRPr="002E4AA3">
          <w:rPr>
            <w:rStyle w:val="Hyperlink"/>
          </w:rPr>
          <w:t>202</w:t>
        </w:r>
        <w:r w:rsidR="002E4AA3" w:rsidRPr="002E4AA3">
          <w:rPr>
            <w:rStyle w:val="Hyperlink"/>
          </w:rPr>
          <w:t>6</w:t>
        </w:r>
        <w:r w:rsidR="00AE10FB" w:rsidRPr="002E4AA3">
          <w:rPr>
            <w:rStyle w:val="Hyperlink"/>
          </w:rPr>
          <w:t xml:space="preserve"> Insurance Changes </w:t>
        </w:r>
        <w:r w:rsidRPr="002E4AA3">
          <w:rPr>
            <w:rStyle w:val="Hyperlink"/>
          </w:rPr>
          <w:t>page</w:t>
        </w:r>
      </w:hyperlink>
      <w:r w:rsidRPr="002E4AA3">
        <w:t>.</w:t>
      </w:r>
      <w:r>
        <w:t xml:space="preserve"> </w:t>
      </w:r>
    </w:p>
    <w:bookmarkEnd w:id="2"/>
    <w:p w14:paraId="51184590" w14:textId="734A000A" w:rsidR="00912A93" w:rsidRPr="00912A93" w:rsidRDefault="00912A93">
      <w:pPr>
        <w:rPr>
          <w:b/>
        </w:rPr>
      </w:pPr>
      <w:r w:rsidRPr="00912A93">
        <w:rPr>
          <w:b/>
        </w:rPr>
        <w:t>Open Enrollment Emails</w:t>
      </w:r>
    </w:p>
    <w:p w14:paraId="42D5F279" w14:textId="12837DEA" w:rsidR="00912A93" w:rsidRDefault="00FE74B6">
      <w:pPr>
        <w:rPr>
          <w:highlight w:val="yellow"/>
        </w:rPr>
      </w:pPr>
      <w:r>
        <w:t>Most</w:t>
      </w:r>
      <w:r w:rsidR="00912A93">
        <w:t xml:space="preserve"> Open Enrollment emails </w:t>
      </w:r>
      <w:r>
        <w:t>will be sent to</w:t>
      </w:r>
      <w:r w:rsidR="00912A93">
        <w:t xml:space="preserve"> you via STAR.  They will be </w:t>
      </w:r>
      <w:r w:rsidR="001959F7">
        <w:t xml:space="preserve">from </w:t>
      </w:r>
      <w:r w:rsidR="001959F7" w:rsidRPr="00340623">
        <w:rPr>
          <w:b/>
          <w:bCs/>
        </w:rPr>
        <w:t>OpenEnrollmentDoNotReply@wisconsin.gov</w:t>
      </w:r>
      <w:r w:rsidR="001959F7">
        <w:t xml:space="preserve"> </w:t>
      </w:r>
      <w:r w:rsidR="00912A93" w:rsidRPr="001959F7">
        <w:t>and</w:t>
      </w:r>
      <w:r w:rsidR="00912A93" w:rsidRPr="00912A93">
        <w:t xml:space="preserve"> </w:t>
      </w:r>
      <w:r w:rsidR="00912A93">
        <w:t>reference some aspect of Open Enrollment.  Watch for these emails – they will contain important benefit information and provide instruction</w:t>
      </w:r>
      <w:r w:rsidR="00002EA8">
        <w:t>s</w:t>
      </w:r>
      <w:r w:rsidR="00912A93">
        <w:t xml:space="preserve">.  </w:t>
      </w:r>
    </w:p>
    <w:p w14:paraId="2AD64687" w14:textId="143F63D7" w:rsidR="007F38D6" w:rsidRPr="007F38D6" w:rsidRDefault="007F38D6" w:rsidP="007F38D6">
      <w:pPr>
        <w:rPr>
          <w:b/>
        </w:rPr>
      </w:pPr>
      <w:r w:rsidRPr="007F38D6">
        <w:rPr>
          <w:b/>
        </w:rPr>
        <w:t>Next Steps</w:t>
      </w:r>
    </w:p>
    <w:p w14:paraId="4135C9C9" w14:textId="24B38C8E" w:rsidR="00706D48" w:rsidRPr="00676C37" w:rsidRDefault="00B30E48" w:rsidP="0081149F">
      <w:pPr>
        <w:pStyle w:val="ListParagraph"/>
        <w:numPr>
          <w:ilvl w:val="0"/>
          <w:numId w:val="7"/>
        </w:numPr>
      </w:pPr>
      <w:r w:rsidRPr="0081149F">
        <w:rPr>
          <w:bCs/>
        </w:rPr>
        <w:t xml:space="preserve">Take a moment to review the </w:t>
      </w:r>
      <w:hyperlink r:id="rId7" w:history="1">
        <w:r w:rsidR="005A2E9E" w:rsidRPr="0081149F">
          <w:rPr>
            <w:rStyle w:val="Hyperlink"/>
            <w:bCs/>
          </w:rPr>
          <w:t>202</w:t>
        </w:r>
        <w:r w:rsidR="002E4AA3" w:rsidRPr="0081149F">
          <w:rPr>
            <w:rStyle w:val="Hyperlink"/>
            <w:bCs/>
          </w:rPr>
          <w:t>6</w:t>
        </w:r>
        <w:r w:rsidR="005A2E9E" w:rsidRPr="0081149F">
          <w:rPr>
            <w:rStyle w:val="Hyperlink"/>
            <w:bCs/>
          </w:rPr>
          <w:t xml:space="preserve"> Insurance </w:t>
        </w:r>
        <w:r w:rsidRPr="0081149F">
          <w:rPr>
            <w:rStyle w:val="Hyperlink"/>
            <w:bCs/>
          </w:rPr>
          <w:t>Changes</w:t>
        </w:r>
      </w:hyperlink>
      <w:r w:rsidR="008B5332" w:rsidRPr="002E4AA3">
        <w:t xml:space="preserve"> </w:t>
      </w:r>
      <w:r w:rsidR="006C0065" w:rsidRPr="002E4AA3">
        <w:t>and t</w:t>
      </w:r>
      <w:r w:rsidR="008B5332" w:rsidRPr="002E4AA3">
        <w:t xml:space="preserve">he </w:t>
      </w:r>
      <w:hyperlink r:id="rId8" w:history="1">
        <w:r w:rsidR="008B5332" w:rsidRPr="002E4AA3">
          <w:rPr>
            <w:rStyle w:val="Hyperlink"/>
          </w:rPr>
          <w:t>202</w:t>
        </w:r>
        <w:r w:rsidR="002E4AA3" w:rsidRPr="002E4AA3">
          <w:rPr>
            <w:rStyle w:val="Hyperlink"/>
          </w:rPr>
          <w:t>6</w:t>
        </w:r>
        <w:r w:rsidR="008B5332" w:rsidRPr="002E4AA3">
          <w:rPr>
            <w:rStyle w:val="Hyperlink"/>
          </w:rPr>
          <w:t xml:space="preserve"> It’s Your Choice Decision Guide</w:t>
        </w:r>
      </w:hyperlink>
      <w:r w:rsidR="006C0065" w:rsidRPr="002E4AA3">
        <w:t xml:space="preserve"> for f</w:t>
      </w:r>
      <w:r w:rsidR="006C0065">
        <w:t>ull details.</w:t>
      </w:r>
    </w:p>
    <w:p w14:paraId="213C62C2" w14:textId="200AB25E" w:rsidR="003A2A51" w:rsidRDefault="003A2A51" w:rsidP="0081149F">
      <w:pPr>
        <w:pStyle w:val="ListParagraph"/>
        <w:numPr>
          <w:ilvl w:val="0"/>
          <w:numId w:val="7"/>
        </w:numPr>
      </w:pPr>
      <w:r>
        <w:t xml:space="preserve">Whenever you enroll in insurance coverage and include a spouse or </w:t>
      </w:r>
      <w:proofErr w:type="gramStart"/>
      <w:r>
        <w:t>dependent</w:t>
      </w:r>
      <w:proofErr w:type="gramEnd"/>
      <w:r w:rsidR="0081149F">
        <w:t xml:space="preserve">, </w:t>
      </w:r>
      <w:r>
        <w:t xml:space="preserve">you must provide documentation verifying their eligibility.  The </w:t>
      </w:r>
      <w:hyperlink r:id="rId9" w:history="1">
        <w:r w:rsidRPr="003A2A51">
          <w:rPr>
            <w:rStyle w:val="Hyperlink"/>
          </w:rPr>
          <w:t>required documentation</w:t>
        </w:r>
      </w:hyperlink>
      <w:r>
        <w:t xml:space="preserve"> needed:</w:t>
      </w:r>
    </w:p>
    <w:p w14:paraId="43474B57" w14:textId="5A287F34" w:rsidR="003A2A51" w:rsidRDefault="003A2A51" w:rsidP="0081149F">
      <w:pPr>
        <w:pStyle w:val="ListParagraph"/>
        <w:numPr>
          <w:ilvl w:val="1"/>
          <w:numId w:val="7"/>
        </w:numPr>
      </w:pPr>
      <w:r>
        <w:t>Adding a child dependent, you must present your agency with your dependents birth certificate</w:t>
      </w:r>
    </w:p>
    <w:p w14:paraId="74027D45" w14:textId="63204A41" w:rsidR="00C97A61" w:rsidRDefault="003A2A51" w:rsidP="0081149F">
      <w:pPr>
        <w:pStyle w:val="ListParagraph"/>
        <w:numPr>
          <w:ilvl w:val="1"/>
          <w:numId w:val="7"/>
        </w:numPr>
      </w:pPr>
      <w:r>
        <w:t xml:space="preserve">Adding a spouse, you must present your agency with your marriage certificate </w:t>
      </w:r>
    </w:p>
    <w:p w14:paraId="3D87DFBF" w14:textId="176E0D57" w:rsidR="00C97A61" w:rsidRDefault="00C97A61" w:rsidP="0081149F">
      <w:pPr>
        <w:pStyle w:val="ListParagraph"/>
        <w:numPr>
          <w:ilvl w:val="0"/>
          <w:numId w:val="7"/>
        </w:numPr>
      </w:pPr>
      <w:r>
        <w:t xml:space="preserve">Watch your inbox for important Open Enrollment emails coming soon!  </w:t>
      </w:r>
      <w:r w:rsidRPr="003B2295">
        <w:t xml:space="preserve">All benefit elections must be submitted by October </w:t>
      </w:r>
      <w:r>
        <w:t>31</w:t>
      </w:r>
      <w:r w:rsidRPr="003B2295">
        <w:t>, 20</w:t>
      </w:r>
      <w:r>
        <w:t>25</w:t>
      </w:r>
      <w:r w:rsidRPr="003B2295">
        <w:t xml:space="preserve"> (eBenefit</w:t>
      </w:r>
      <w:r>
        <w:t>s</w:t>
      </w:r>
      <w:r w:rsidRPr="003B2295">
        <w:t xml:space="preserve"> enrollment will close at 11:59pm on October </w:t>
      </w:r>
      <w:r>
        <w:t>31</w:t>
      </w:r>
      <w:r w:rsidRPr="003B2295">
        <w:t>)</w:t>
      </w:r>
      <w:r>
        <w:t xml:space="preserve">. </w:t>
      </w:r>
    </w:p>
    <w:p w14:paraId="74C57EDC" w14:textId="77777777" w:rsidR="00C97A61" w:rsidRDefault="00C97A61" w:rsidP="0081149F"/>
    <w:sectPr w:rsidR="00C97A61" w:rsidSect="00912A9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354"/>
    <w:multiLevelType w:val="hybridMultilevel"/>
    <w:tmpl w:val="E408C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6465E"/>
    <w:multiLevelType w:val="hybridMultilevel"/>
    <w:tmpl w:val="710EB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218E0"/>
    <w:multiLevelType w:val="hybridMultilevel"/>
    <w:tmpl w:val="040ED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445AC"/>
    <w:multiLevelType w:val="hybridMultilevel"/>
    <w:tmpl w:val="99D87D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E7A64D7"/>
    <w:multiLevelType w:val="hybridMultilevel"/>
    <w:tmpl w:val="A21CA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193B5A"/>
    <w:multiLevelType w:val="hybridMultilevel"/>
    <w:tmpl w:val="5944F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833FFF"/>
    <w:multiLevelType w:val="hybridMultilevel"/>
    <w:tmpl w:val="954E7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9022736">
    <w:abstractNumId w:val="6"/>
  </w:num>
  <w:num w:numId="2" w16cid:durableId="1762990331">
    <w:abstractNumId w:val="5"/>
  </w:num>
  <w:num w:numId="3" w16cid:durableId="1981959554">
    <w:abstractNumId w:val="0"/>
  </w:num>
  <w:num w:numId="4" w16cid:durableId="1771849711">
    <w:abstractNumId w:val="1"/>
  </w:num>
  <w:num w:numId="5" w16cid:durableId="1707608304">
    <w:abstractNumId w:val="3"/>
  </w:num>
  <w:num w:numId="6" w16cid:durableId="2054116261">
    <w:abstractNumId w:val="4"/>
  </w:num>
  <w:num w:numId="7" w16cid:durableId="1388216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D68"/>
    <w:rsid w:val="00002EA8"/>
    <w:rsid w:val="00007519"/>
    <w:rsid w:val="000733A0"/>
    <w:rsid w:val="00080F95"/>
    <w:rsid w:val="00087B18"/>
    <w:rsid w:val="000B4AB8"/>
    <w:rsid w:val="000F4079"/>
    <w:rsid w:val="001743E6"/>
    <w:rsid w:val="001959F7"/>
    <w:rsid w:val="001D53CE"/>
    <w:rsid w:val="001E7CFA"/>
    <w:rsid w:val="00247FB6"/>
    <w:rsid w:val="00266753"/>
    <w:rsid w:val="002B2FB3"/>
    <w:rsid w:val="002D67AA"/>
    <w:rsid w:val="002E4AA3"/>
    <w:rsid w:val="00340623"/>
    <w:rsid w:val="00341849"/>
    <w:rsid w:val="003653AE"/>
    <w:rsid w:val="003908C7"/>
    <w:rsid w:val="003A2A51"/>
    <w:rsid w:val="003C2EFE"/>
    <w:rsid w:val="003F5C35"/>
    <w:rsid w:val="00400E06"/>
    <w:rsid w:val="0040595B"/>
    <w:rsid w:val="004B692B"/>
    <w:rsid w:val="004F588F"/>
    <w:rsid w:val="004F7F09"/>
    <w:rsid w:val="00516E1E"/>
    <w:rsid w:val="005357E0"/>
    <w:rsid w:val="00537C3E"/>
    <w:rsid w:val="005A2E9E"/>
    <w:rsid w:val="005B0DB5"/>
    <w:rsid w:val="00676C37"/>
    <w:rsid w:val="006C0065"/>
    <w:rsid w:val="006F177A"/>
    <w:rsid w:val="00702573"/>
    <w:rsid w:val="00706D48"/>
    <w:rsid w:val="007218A1"/>
    <w:rsid w:val="007B15E5"/>
    <w:rsid w:val="007E5488"/>
    <w:rsid w:val="007F38D6"/>
    <w:rsid w:val="007F467C"/>
    <w:rsid w:val="0081149F"/>
    <w:rsid w:val="00843F19"/>
    <w:rsid w:val="008A0499"/>
    <w:rsid w:val="008B018D"/>
    <w:rsid w:val="008B0D0F"/>
    <w:rsid w:val="008B5332"/>
    <w:rsid w:val="008E61A9"/>
    <w:rsid w:val="00912A93"/>
    <w:rsid w:val="009268CB"/>
    <w:rsid w:val="00956164"/>
    <w:rsid w:val="009876F0"/>
    <w:rsid w:val="009A0FE7"/>
    <w:rsid w:val="009B61EC"/>
    <w:rsid w:val="009B7209"/>
    <w:rsid w:val="009C3D68"/>
    <w:rsid w:val="009F7A76"/>
    <w:rsid w:val="00A139AB"/>
    <w:rsid w:val="00A74079"/>
    <w:rsid w:val="00AE10FB"/>
    <w:rsid w:val="00B30E48"/>
    <w:rsid w:val="00B578C0"/>
    <w:rsid w:val="00B87D68"/>
    <w:rsid w:val="00BD7D0D"/>
    <w:rsid w:val="00BF0741"/>
    <w:rsid w:val="00BF74DF"/>
    <w:rsid w:val="00C35CB2"/>
    <w:rsid w:val="00C97A61"/>
    <w:rsid w:val="00CA19C3"/>
    <w:rsid w:val="00CB1BD3"/>
    <w:rsid w:val="00D10CDD"/>
    <w:rsid w:val="00D3599C"/>
    <w:rsid w:val="00E24382"/>
    <w:rsid w:val="00E90961"/>
    <w:rsid w:val="00F843DB"/>
    <w:rsid w:val="00FC45D1"/>
    <w:rsid w:val="00FE74B6"/>
    <w:rsid w:val="00FF1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04105"/>
  <w15:chartTrackingRefBased/>
  <w15:docId w15:val="{217109DE-127B-45DA-9A15-8E5B10945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A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38D6"/>
    <w:rPr>
      <w:color w:val="0000FF" w:themeColor="hyperlink"/>
      <w:u w:val="single"/>
    </w:rPr>
  </w:style>
  <w:style w:type="character" w:styleId="UnresolvedMention">
    <w:name w:val="Unresolved Mention"/>
    <w:basedOn w:val="DefaultParagraphFont"/>
    <w:uiPriority w:val="99"/>
    <w:semiHidden/>
    <w:unhideWhenUsed/>
    <w:rsid w:val="001959F7"/>
    <w:rPr>
      <w:color w:val="605E5C"/>
      <w:shd w:val="clear" w:color="auto" w:fill="E1DFDD"/>
    </w:rPr>
  </w:style>
  <w:style w:type="character" w:styleId="CommentReference">
    <w:name w:val="annotation reference"/>
    <w:basedOn w:val="DefaultParagraphFont"/>
    <w:uiPriority w:val="99"/>
    <w:semiHidden/>
    <w:unhideWhenUsed/>
    <w:rsid w:val="005357E0"/>
    <w:rPr>
      <w:sz w:val="16"/>
      <w:szCs w:val="16"/>
    </w:rPr>
  </w:style>
  <w:style w:type="paragraph" w:styleId="CommentText">
    <w:name w:val="annotation text"/>
    <w:basedOn w:val="Normal"/>
    <w:link w:val="CommentTextChar"/>
    <w:uiPriority w:val="99"/>
    <w:semiHidden/>
    <w:unhideWhenUsed/>
    <w:rsid w:val="005357E0"/>
    <w:pPr>
      <w:spacing w:line="240" w:lineRule="auto"/>
    </w:pPr>
    <w:rPr>
      <w:sz w:val="20"/>
      <w:szCs w:val="20"/>
    </w:rPr>
  </w:style>
  <w:style w:type="character" w:customStyle="1" w:styleId="CommentTextChar">
    <w:name w:val="Comment Text Char"/>
    <w:basedOn w:val="DefaultParagraphFont"/>
    <w:link w:val="CommentText"/>
    <w:uiPriority w:val="99"/>
    <w:semiHidden/>
    <w:rsid w:val="005357E0"/>
    <w:rPr>
      <w:sz w:val="20"/>
      <w:szCs w:val="20"/>
    </w:rPr>
  </w:style>
  <w:style w:type="paragraph" w:styleId="CommentSubject">
    <w:name w:val="annotation subject"/>
    <w:basedOn w:val="CommentText"/>
    <w:next w:val="CommentText"/>
    <w:link w:val="CommentSubjectChar"/>
    <w:uiPriority w:val="99"/>
    <w:semiHidden/>
    <w:unhideWhenUsed/>
    <w:rsid w:val="005357E0"/>
    <w:rPr>
      <w:b/>
      <w:bCs/>
    </w:rPr>
  </w:style>
  <w:style w:type="character" w:customStyle="1" w:styleId="CommentSubjectChar">
    <w:name w:val="Comment Subject Char"/>
    <w:basedOn w:val="CommentTextChar"/>
    <w:link w:val="CommentSubject"/>
    <w:uiPriority w:val="99"/>
    <w:semiHidden/>
    <w:rsid w:val="005357E0"/>
    <w:rPr>
      <w:b/>
      <w:bCs/>
      <w:sz w:val="20"/>
      <w:szCs w:val="20"/>
    </w:rPr>
  </w:style>
  <w:style w:type="paragraph" w:styleId="BalloonText">
    <w:name w:val="Balloon Text"/>
    <w:basedOn w:val="Normal"/>
    <w:link w:val="BalloonTextChar"/>
    <w:uiPriority w:val="99"/>
    <w:semiHidden/>
    <w:unhideWhenUsed/>
    <w:rsid w:val="005357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7E0"/>
    <w:rPr>
      <w:rFonts w:ascii="Segoe UI" w:hAnsi="Segoe UI" w:cs="Segoe UI"/>
      <w:sz w:val="18"/>
      <w:szCs w:val="18"/>
    </w:rPr>
  </w:style>
  <w:style w:type="character" w:styleId="FollowedHyperlink">
    <w:name w:val="FollowedHyperlink"/>
    <w:basedOn w:val="DefaultParagraphFont"/>
    <w:uiPriority w:val="99"/>
    <w:semiHidden/>
    <w:unhideWhenUsed/>
    <w:rsid w:val="00676C37"/>
    <w:rPr>
      <w:color w:val="800080" w:themeColor="followedHyperlink"/>
      <w:u w:val="single"/>
    </w:rPr>
  </w:style>
  <w:style w:type="paragraph" w:styleId="ListParagraph">
    <w:name w:val="List Paragraph"/>
    <w:basedOn w:val="Normal"/>
    <w:uiPriority w:val="34"/>
    <w:qFormat/>
    <w:rsid w:val="006F177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f.wi.gov/resource/2026-insurance-benefits-decision-guide-state-wisconsin-group-health-insurance-employees"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hyperlink" Target="https://etf.wi.gov/2026-insurance-changes" TargetMode="Externa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f.wi.gov/2026-insurance-changes" TargetMode="Externa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f.wi.gov/insurance/life-events-guide/document-requirements-life-events-and-dependent-verification"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4" ma:contentTypeDescription="Create a new document." ma:contentTypeScope="" ma:versionID="a4d41b613a18788b02a9eb6ca837dfa7">
  <xsd:schema xmlns:xsd="http://www.w3.org/2001/XMLSchema" xmlns:xs="http://www.w3.org/2001/XMLSchema" xmlns:p="http://schemas.microsoft.com/office/2006/metadata/properties" xmlns:ns1="http://schemas.microsoft.com/sharepoint/v3" xmlns:ns2="10f2cb44-b37d-4693-a5c3-140ab663d372" xmlns:ns3="7a61c4ba-b021-40cd-af10-78a6188bfae5" xmlns:ns4="fb82bcdf-ea63-4554-99e3-e15ccd87b479" targetNamespace="http://schemas.microsoft.com/office/2006/metadata/properties" ma:root="true" ma:fieldsID="d3f33910585c4c2e97c304e6f603e1e6" ns1:_="" ns2:_="" ns3:_="" ns4:_="">
    <xsd:import namespace="http://schemas.microsoft.com/sharepoint/v3"/>
    <xsd:import namespace="10f2cb44-b37d-4693-a5c3-140ab663d372"/>
    <xsd:import namespace="7a61c4ba-b021-40cd-af10-78a6188bfae5"/>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Bureau"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a61c4ba-b021-40cd-af10-78a6188bfae5" elementFormDefault="qualified">
    <xsd:import namespace="http://schemas.microsoft.com/office/2006/documentManagement/types"/>
    <xsd:import namespace="http://schemas.microsoft.com/office/infopath/2007/PartnerControls"/>
    <xsd:element name="Bureau" ma:index="13" nillable="true" ma:displayName="Bureau" ma:format="Dropdown" ma:internalName="Bureau">
      <xsd:simpleType>
        <xsd:restriction base="dms:Choice">
          <xsd:enumeration value="BCER"/>
          <xsd:enumeration value="BEI"/>
          <xsd:enumeration value="BMRS"/>
          <xsd:enumeration value="Central Benefits &amp; Payroll"/>
          <xsd:enumeration value="DIR"/>
          <xsd:enumeration value="HR Services"/>
        </xsd:restrictio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Bureau xmlns="7a61c4ba-b021-40cd-af10-78a6188bfae5"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C956675-A2C6-4D02-AA4A-F29ECA05808C}">
  <ds:schemaRefs>
    <ds:schemaRef ds:uri="http://schemas.openxmlformats.org/officeDocument/2006/bibliography"/>
  </ds:schemaRefs>
</ds:datastoreItem>
</file>

<file path=customXml/itemProps2.xml><?xml version="1.0" encoding="utf-8"?>
<ds:datastoreItem xmlns:ds="http://schemas.openxmlformats.org/officeDocument/2006/customXml" ds:itemID="{A29D2BF2-65F7-457A-85CC-CC61501FEA8C}"/>
</file>

<file path=customXml/itemProps3.xml><?xml version="1.0" encoding="utf-8"?>
<ds:datastoreItem xmlns:ds="http://schemas.openxmlformats.org/officeDocument/2006/customXml" ds:itemID="{CEE72850-6E40-4BD7-A2E9-32E978A8BA96}"/>
</file>

<file path=customXml/itemProps4.xml><?xml version="1.0" encoding="utf-8"?>
<ds:datastoreItem xmlns:ds="http://schemas.openxmlformats.org/officeDocument/2006/customXml" ds:itemID="{2682B3DB-1B81-4B95-9CBB-D19516F46995}"/>
</file>

<file path=customXml/itemProps5.xml><?xml version="1.0" encoding="utf-8"?>
<ds:datastoreItem xmlns:ds="http://schemas.openxmlformats.org/officeDocument/2006/customXml" ds:itemID="{65997535-E55E-4743-83AF-0DE08FCC4CC0}"/>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 Nicole - DOA</dc:creator>
  <cp:keywords/>
  <dc:description/>
  <cp:lastModifiedBy>Perry, Julie - DOA</cp:lastModifiedBy>
  <cp:revision>2</cp:revision>
  <dcterms:created xsi:type="dcterms:W3CDTF">2025-10-01T20:07:00Z</dcterms:created>
  <dcterms:modified xsi:type="dcterms:W3CDTF">2025-10-01T20:07:00Z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