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Layout w:type="fixed"/>
        <w:tblLook w:val="0000" w:firstRow="0" w:lastRow="0" w:firstColumn="0" w:lastColumn="0" w:noHBand="0" w:noVBand="0"/>
      </w:tblPr>
      <w:tblGrid>
        <w:gridCol w:w="4230"/>
        <w:gridCol w:w="2430"/>
        <w:gridCol w:w="3240"/>
      </w:tblGrid>
      <w:tr w:rsidR="00982715" w:rsidRPr="005F00C5" w:rsidTr="00982715">
        <w:trPr>
          <w:trHeight w:val="1200"/>
        </w:trPr>
        <w:tc>
          <w:tcPr>
            <w:tcW w:w="4230" w:type="dxa"/>
          </w:tcPr>
          <w:p w:rsidR="00982715" w:rsidRPr="005F00C5" w:rsidRDefault="00982715" w:rsidP="0044177D">
            <w:pPr>
              <w:pStyle w:val="FformID"/>
            </w:pPr>
            <w:r w:rsidRPr="005F00C5">
              <w:t>State of Wisconsin</w:t>
            </w:r>
          </w:p>
          <w:p w:rsidR="00982715" w:rsidRPr="005F00C5" w:rsidRDefault="00982715" w:rsidP="0044177D">
            <w:pPr>
              <w:pStyle w:val="FformID"/>
            </w:pPr>
            <w:r w:rsidRPr="005F00C5">
              <w:t xml:space="preserve">Department of Administration </w:t>
            </w:r>
          </w:p>
          <w:p w:rsidR="00982715" w:rsidRPr="005F00C5" w:rsidRDefault="00982715" w:rsidP="0044177D">
            <w:pPr>
              <w:pStyle w:val="FformID"/>
            </w:pPr>
            <w:r w:rsidRPr="005F00C5">
              <w:t>Division of Personnel Management</w:t>
            </w:r>
          </w:p>
          <w:p w:rsidR="00982715" w:rsidRPr="00BE1321" w:rsidRDefault="00982715" w:rsidP="0044177D">
            <w:pPr>
              <w:pStyle w:val="FformID"/>
              <w:rPr>
                <w:szCs w:val="16"/>
              </w:rPr>
            </w:pPr>
            <w:r>
              <w:rPr>
                <w:szCs w:val="16"/>
              </w:rPr>
              <w:t>DOA-1531</w:t>
            </w:r>
            <w:r w:rsidR="00E87503">
              <w:rPr>
                <w:szCs w:val="16"/>
              </w:rPr>
              <w:t>7</w:t>
            </w:r>
            <w:r w:rsidRPr="00BE1321">
              <w:rPr>
                <w:szCs w:val="16"/>
              </w:rPr>
              <w:t xml:space="preserve"> (C07/2015)</w:t>
            </w:r>
          </w:p>
          <w:p w:rsidR="00982715" w:rsidRDefault="00982715" w:rsidP="0044177D">
            <w:pPr>
              <w:pStyle w:val="FformID"/>
            </w:pPr>
            <w:r>
              <w:rPr>
                <w:rFonts w:ascii="CG Times" w:hAnsi="CG Times"/>
              </w:rPr>
              <w:t xml:space="preserve">S. </w:t>
            </w:r>
            <w:r>
              <w:rPr>
                <w:snapToGrid w:val="0"/>
              </w:rPr>
              <w:t xml:space="preserve">230.09 </w:t>
            </w:r>
            <w:r>
              <w:t>Wis. Stats.</w:t>
            </w:r>
          </w:p>
          <w:p w:rsidR="00982715" w:rsidRPr="005F00C5" w:rsidRDefault="00982715" w:rsidP="0044177D">
            <w:pPr>
              <w:pStyle w:val="FformID"/>
            </w:pPr>
            <w:r w:rsidRPr="00BE1321">
              <w:rPr>
                <w:szCs w:val="16"/>
              </w:rPr>
              <w:t>Previously OSER-DCLR-</w:t>
            </w:r>
            <w:r>
              <w:rPr>
                <w:szCs w:val="16"/>
              </w:rPr>
              <w:t>85</w:t>
            </w:r>
          </w:p>
        </w:tc>
        <w:tc>
          <w:tcPr>
            <w:tcW w:w="2430" w:type="dxa"/>
          </w:tcPr>
          <w:p w:rsidR="00982715" w:rsidRPr="005F00C5" w:rsidRDefault="00982715" w:rsidP="0044177D">
            <w:pPr>
              <w:pStyle w:val="FformID"/>
              <w:jc w:val="center"/>
              <w:rPr>
                <w:rFonts w:ascii="Univers" w:hAnsi="Univers"/>
              </w:rPr>
            </w:pPr>
            <w:r>
              <w:rPr>
                <w:noProof/>
              </w:rPr>
              <w:drawing>
                <wp:inline distT="0" distB="0" distL="0" distR="0" wp14:anchorId="123ABD87" wp14:editId="7285A2C1">
                  <wp:extent cx="7334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240" w:type="dxa"/>
          </w:tcPr>
          <w:p w:rsidR="00982715" w:rsidRPr="005F00C5" w:rsidRDefault="00982715" w:rsidP="0044177D">
            <w:pPr>
              <w:pStyle w:val="FformID"/>
              <w:jc w:val="right"/>
            </w:pPr>
            <w:r>
              <w:t>Compensation &amp; Labor Relations</w:t>
            </w:r>
          </w:p>
          <w:p w:rsidR="00982715" w:rsidRPr="005F00C5" w:rsidRDefault="00982715" w:rsidP="0044177D">
            <w:pPr>
              <w:pStyle w:val="FformID"/>
              <w:jc w:val="right"/>
            </w:pPr>
            <w:r w:rsidRPr="005F00C5">
              <w:t>101 E. Wilson St, 4</w:t>
            </w:r>
            <w:r w:rsidRPr="005F00C5">
              <w:rPr>
                <w:vertAlign w:val="superscript"/>
              </w:rPr>
              <w:t>th</w:t>
            </w:r>
            <w:r w:rsidRPr="005F00C5">
              <w:t xml:space="preserve"> fl</w:t>
            </w:r>
          </w:p>
          <w:p w:rsidR="00982715" w:rsidRPr="005F00C5" w:rsidRDefault="00982715" w:rsidP="0044177D">
            <w:pPr>
              <w:pStyle w:val="FformID"/>
              <w:jc w:val="right"/>
            </w:pPr>
            <w:r w:rsidRPr="005F00C5">
              <w:t>Madison, WI 53703</w:t>
            </w:r>
          </w:p>
        </w:tc>
      </w:tr>
    </w:tbl>
    <w:p w:rsidR="00D43F64" w:rsidRDefault="00D43F64" w:rsidP="00D43F64">
      <w:pPr>
        <w:pStyle w:val="Header"/>
        <w:jc w:val="center"/>
        <w:rPr>
          <w:rFonts w:ascii="Arial" w:hAnsi="Arial"/>
          <w:b/>
          <w:sz w:val="16"/>
        </w:rPr>
      </w:pPr>
    </w:p>
    <w:p w:rsidR="00D43F64" w:rsidRDefault="00D43F64" w:rsidP="00D43F64">
      <w:pPr>
        <w:tabs>
          <w:tab w:val="center" w:pos="5040"/>
          <w:tab w:val="right" w:pos="10620"/>
        </w:tabs>
        <w:jc w:val="center"/>
        <w:rPr>
          <w:rFonts w:ascii="Arial" w:hAnsi="Arial"/>
          <w:b/>
          <w:sz w:val="28"/>
        </w:rPr>
      </w:pPr>
      <w:r>
        <w:rPr>
          <w:rFonts w:ascii="Arial" w:hAnsi="Arial"/>
          <w:b/>
          <w:sz w:val="28"/>
        </w:rPr>
        <w:t>Management Exclusion Analysis</w:t>
      </w:r>
    </w:p>
    <w:p w:rsidR="00D43F64" w:rsidRDefault="00D43F64" w:rsidP="00D43F64">
      <w:pPr>
        <w:rPr>
          <w:sz w:val="20"/>
        </w:rPr>
      </w:pPr>
    </w:p>
    <w:p w:rsidR="00D43F64" w:rsidRDefault="00D43F64" w:rsidP="00D43F64">
      <w:pPr>
        <w:rPr>
          <w:sz w:val="20"/>
        </w:rPr>
      </w:pPr>
      <w:r>
        <w:rPr>
          <w:sz w:val="20"/>
        </w:rPr>
        <w:t>This analysis should be completed by the position's supervisor and reviewed by the agency human resources representative prior to classifying a position as “management.” The information will be used to assist in determining if the position is performing duties which support inclusion of the position in a career executive or other management classification, resulting in exclusion of the position from bargaining unit representation.</w:t>
      </w:r>
    </w:p>
    <w:p w:rsidR="00D43F64" w:rsidRDefault="00D43F64" w:rsidP="00D43F64">
      <w:pPr>
        <w:rPr>
          <w:sz w:val="20"/>
        </w:rPr>
      </w:pPr>
    </w:p>
    <w:p w:rsidR="00D43F64" w:rsidRDefault="00D43F64" w:rsidP="00D43F64">
      <w:pPr>
        <w:rPr>
          <w:sz w:val="20"/>
        </w:rPr>
      </w:pPr>
      <w:r>
        <w:rPr>
          <w:sz w:val="20"/>
        </w:rPr>
        <w:t>Wisconsin Statute s. 111.81(13), excludes management personnel from the definition of employee for collective bargaining purposes.  Section 111.81(13) defines “management” to include “those personnel engaged predominately in executive and managerial functions, including such officials as division administrators, bureau directors, institution heads, and employees exercising similar functions and responsibilities as determined by the [Wisconsin Employment Relations] Commission.”</w:t>
      </w:r>
    </w:p>
    <w:p w:rsidR="00D43F64" w:rsidRDefault="00D43F64" w:rsidP="00D43F64">
      <w:pPr>
        <w:rPr>
          <w:sz w:val="20"/>
        </w:rPr>
      </w:pPr>
    </w:p>
    <w:p w:rsidR="00D43F64" w:rsidRDefault="00D43F64" w:rsidP="00D43F64">
      <w:pPr>
        <w:rPr>
          <w:sz w:val="20"/>
        </w:rPr>
      </w:pPr>
      <w:r>
        <w:rPr>
          <w:sz w:val="20"/>
        </w:rPr>
        <w:t>The Commission referenced above is the Wisconsin Employment Relations Commission (WERC) which, under s. 111.825(3), assigns eligible employees to the appropriate bargaining units and ultimately determines the appropriateness of management exclusions.</w:t>
      </w:r>
    </w:p>
    <w:p w:rsidR="00D43F64" w:rsidRDefault="00D43F64" w:rsidP="00D43F64">
      <w:pPr>
        <w:tabs>
          <w:tab w:val="left" w:pos="270"/>
          <w:tab w:val="right" w:leader="underscore" w:pos="9900"/>
        </w:tabs>
        <w:rPr>
          <w:sz w:val="20"/>
        </w:rPr>
      </w:pPr>
    </w:p>
    <w:p w:rsidR="00D43F64" w:rsidRDefault="00D43F64" w:rsidP="00D43F64">
      <w:pPr>
        <w:tabs>
          <w:tab w:val="left" w:pos="270"/>
          <w:tab w:val="right" w:leader="underscore" w:pos="9900"/>
        </w:tabs>
        <w:rPr>
          <w:sz w:val="20"/>
        </w:rPr>
      </w:pPr>
      <w:r>
        <w:rPr>
          <w:noProof/>
          <w:sz w:val="20"/>
        </w:rPr>
        <mc:AlternateContent>
          <mc:Choice Requires="wps">
            <w:drawing>
              <wp:anchor distT="0" distB="0" distL="114300" distR="114300" simplePos="0" relativeHeight="251660288" behindDoc="1" locked="1" layoutInCell="0" allowOverlap="1" wp14:anchorId="086F2D25" wp14:editId="2C2397B2">
                <wp:simplePos x="0" y="0"/>
                <wp:positionH relativeFrom="page">
                  <wp:posOffset>457200</wp:posOffset>
                </wp:positionH>
                <wp:positionV relativeFrom="paragraph">
                  <wp:posOffset>0</wp:posOffset>
                </wp:positionV>
                <wp:extent cx="6858000" cy="1714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0;width:540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Jp5g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" o:allowincell="f" fillcolor="black" stroked="f" strokeweight="0">
                <w10:wrap anchorx="page"/>
                <w10:anchorlock/>
              </v:rect>
            </w:pict>
          </mc:Fallback>
        </mc:AlternateContent>
      </w:r>
    </w:p>
    <w:p w:rsidR="00D43F64" w:rsidRDefault="00D43F64" w:rsidP="00D43F64">
      <w:pPr>
        <w:tabs>
          <w:tab w:val="left" w:pos="270"/>
          <w:tab w:val="center" w:pos="5040"/>
          <w:tab w:val="right" w:pos="9900"/>
          <w:tab w:val="left" w:leader="underscore" w:pos="9936"/>
        </w:tabs>
        <w:jc w:val="center"/>
        <w:rPr>
          <w:b/>
          <w:sz w:val="20"/>
        </w:rPr>
      </w:pPr>
      <w:r>
        <w:rPr>
          <w:sz w:val="20"/>
        </w:rPr>
        <w:tab/>
      </w:r>
      <w:r>
        <w:rPr>
          <w:b/>
          <w:sz w:val="20"/>
        </w:rPr>
        <w:t>Position Identification Data</w:t>
      </w:r>
    </w:p>
    <w:p w:rsidR="00D43F64" w:rsidRDefault="00D43F64" w:rsidP="00D43F64">
      <w:pPr>
        <w:tabs>
          <w:tab w:val="left" w:pos="270"/>
          <w:tab w:val="right" w:pos="9900"/>
          <w:tab w:val="left" w:leader="underscore" w:pos="9936"/>
        </w:tabs>
        <w:rPr>
          <w:b/>
          <w:sz w:val="20"/>
        </w:rPr>
      </w:pPr>
    </w:p>
    <w:p w:rsidR="00D43F64" w:rsidRDefault="00D43F64" w:rsidP="00D43F64">
      <w:pPr>
        <w:tabs>
          <w:tab w:val="left" w:pos="270"/>
          <w:tab w:val="left" w:leader="underscore" w:pos="9450"/>
          <w:tab w:val="right" w:leader="underscore" w:pos="10620"/>
        </w:tabs>
        <w:rPr>
          <w:sz w:val="20"/>
        </w:rPr>
      </w:pPr>
      <w:r>
        <w:rPr>
          <w:sz w:val="20"/>
        </w:rPr>
        <w:t xml:space="preserve">1.  Name of  Employee (if filled): </w:t>
      </w:r>
      <w:r>
        <w:rPr>
          <w:sz w:val="20"/>
        </w:rPr>
        <w:tab/>
      </w:r>
    </w:p>
    <w:p w:rsidR="00D43F64" w:rsidRDefault="00D43F64" w:rsidP="00D43F64">
      <w:pPr>
        <w:tabs>
          <w:tab w:val="left" w:pos="360"/>
          <w:tab w:val="left" w:leader="underscore" w:pos="9450"/>
          <w:tab w:val="right" w:leader="underscore" w:pos="10620"/>
        </w:tabs>
        <w:rPr>
          <w:sz w:val="20"/>
        </w:rPr>
      </w:pPr>
      <w:r>
        <w:rPr>
          <w:sz w:val="20"/>
        </w:rPr>
        <w:t xml:space="preserve">2.  Civil Service Classification:  </w:t>
      </w:r>
      <w:r>
        <w:rPr>
          <w:sz w:val="20"/>
        </w:rPr>
        <w:tab/>
      </w:r>
    </w:p>
    <w:p w:rsidR="00D43F64" w:rsidRDefault="00D43F64" w:rsidP="00D43F64">
      <w:pPr>
        <w:tabs>
          <w:tab w:val="left" w:pos="270"/>
          <w:tab w:val="left" w:leader="underscore" w:pos="9450"/>
          <w:tab w:val="right" w:leader="underscore" w:pos="10620"/>
        </w:tabs>
        <w:rPr>
          <w:sz w:val="20"/>
        </w:rPr>
      </w:pPr>
      <w:r>
        <w:rPr>
          <w:sz w:val="20"/>
        </w:rPr>
        <w:t xml:space="preserve">3.  Department and Division: </w:t>
      </w:r>
      <w:r>
        <w:rPr>
          <w:sz w:val="20"/>
        </w:rPr>
        <w:tab/>
      </w:r>
    </w:p>
    <w:p w:rsidR="00D43F64" w:rsidRDefault="00D43F64" w:rsidP="00D43F64">
      <w:pPr>
        <w:tabs>
          <w:tab w:val="left" w:pos="270"/>
          <w:tab w:val="left" w:leader="underscore" w:pos="9450"/>
          <w:tab w:val="right" w:leader="underscore" w:pos="10620"/>
        </w:tabs>
        <w:rPr>
          <w:sz w:val="20"/>
        </w:rPr>
      </w:pPr>
      <w:r>
        <w:rPr>
          <w:sz w:val="20"/>
        </w:rPr>
        <w:t xml:space="preserve">4.  Bureau, Section, and Unit (or comparable):  </w:t>
      </w:r>
      <w:r>
        <w:rPr>
          <w:sz w:val="20"/>
        </w:rPr>
        <w:tab/>
      </w:r>
    </w:p>
    <w:p w:rsidR="00D43F64" w:rsidRDefault="00D43F64" w:rsidP="00D43F64">
      <w:pPr>
        <w:tabs>
          <w:tab w:val="left" w:pos="270"/>
          <w:tab w:val="left" w:leader="underscore" w:pos="9450"/>
          <w:tab w:val="right" w:leader="underscore" w:pos="10620"/>
        </w:tabs>
        <w:rPr>
          <w:sz w:val="20"/>
        </w:rPr>
      </w:pPr>
      <w:r>
        <w:rPr>
          <w:sz w:val="20"/>
        </w:rPr>
        <w:t xml:space="preserve">5.  Name and Classification of Supervisor: </w:t>
      </w:r>
      <w:r>
        <w:rPr>
          <w:sz w:val="20"/>
        </w:rPr>
        <w:tab/>
      </w:r>
    </w:p>
    <w:p w:rsidR="00D43F64" w:rsidRDefault="00D43F64" w:rsidP="00D43F64">
      <w:pPr>
        <w:tabs>
          <w:tab w:val="left" w:pos="270"/>
          <w:tab w:val="left" w:leader="underscore" w:pos="9450"/>
          <w:tab w:val="right" w:leader="underscore" w:pos="10620"/>
        </w:tabs>
        <w:rPr>
          <w:sz w:val="20"/>
        </w:rPr>
      </w:pPr>
      <w:r>
        <w:rPr>
          <w:sz w:val="20"/>
        </w:rPr>
        <w:t xml:space="preserve">6.  Name and Complete Civil Service Title of Former Incumbent (if any): </w:t>
      </w:r>
      <w:r>
        <w:rPr>
          <w:sz w:val="20"/>
        </w:rPr>
        <w:tab/>
      </w:r>
    </w:p>
    <w:p w:rsidR="00D43F64" w:rsidRDefault="00D43F64" w:rsidP="00D43F64">
      <w:pPr>
        <w:tabs>
          <w:tab w:val="left" w:pos="270"/>
          <w:tab w:val="left" w:leader="underscore" w:pos="9450"/>
          <w:tab w:val="right" w:leader="underscore" w:pos="10620"/>
        </w:tabs>
        <w:rPr>
          <w:sz w:val="20"/>
        </w:rPr>
      </w:pPr>
      <w:r>
        <w:rPr>
          <w:sz w:val="20"/>
        </w:rPr>
        <w:tab/>
      </w:r>
      <w:r>
        <w:rPr>
          <w:sz w:val="20"/>
        </w:rPr>
        <w:tab/>
      </w:r>
    </w:p>
    <w:p w:rsidR="00D43F64" w:rsidRDefault="00D43F64" w:rsidP="00D43F64">
      <w:pPr>
        <w:tabs>
          <w:tab w:val="left" w:pos="270"/>
          <w:tab w:val="right" w:leader="underscore" w:pos="9936"/>
        </w:tabs>
        <w:rPr>
          <w:sz w:val="20"/>
        </w:rPr>
      </w:pPr>
    </w:p>
    <w:p w:rsidR="00D43F64" w:rsidRDefault="00D43F64" w:rsidP="00D43F64">
      <w:pPr>
        <w:spacing w:line="-31" w:lineRule="auto"/>
        <w:rPr>
          <w:sz w:val="20"/>
        </w:rPr>
      </w:pPr>
      <w:r>
        <w:rPr>
          <w:noProof/>
          <w:sz w:val="20"/>
        </w:rPr>
        <mc:AlternateContent>
          <mc:Choice Requires="wps">
            <w:drawing>
              <wp:anchor distT="0" distB="0" distL="114300" distR="114300" simplePos="0" relativeHeight="251659264" behindDoc="1" locked="1" layoutInCell="0" allowOverlap="1" wp14:anchorId="6C7F446E" wp14:editId="697115B6">
                <wp:simplePos x="0" y="0"/>
                <wp:positionH relativeFrom="page">
                  <wp:posOffset>457200</wp:posOffset>
                </wp:positionH>
                <wp:positionV relativeFrom="paragraph">
                  <wp:posOffset>0</wp:posOffset>
                </wp:positionV>
                <wp:extent cx="6858000" cy="1714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pt;margin-top:0;width:540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bI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" o:allowincell="f" fillcolor="black" stroked="f" strokeweight="0">
                <w10:wrap anchorx="page"/>
                <w10:anchorlock/>
              </v:rect>
            </w:pict>
          </mc:Fallback>
        </mc:AlternateContent>
      </w:r>
    </w:p>
    <w:p w:rsidR="00D43F64" w:rsidRDefault="00D43F64" w:rsidP="00D43F64">
      <w:pPr>
        <w:rPr>
          <w:sz w:val="20"/>
        </w:rPr>
      </w:pPr>
    </w:p>
    <w:p w:rsidR="00D43F64" w:rsidRDefault="00D43F64" w:rsidP="00D43F64">
      <w:pPr>
        <w:tabs>
          <w:tab w:val="left" w:pos="270"/>
          <w:tab w:val="right" w:leader="underscore" w:pos="9936"/>
        </w:tabs>
        <w:rPr>
          <w:sz w:val="20"/>
        </w:rPr>
      </w:pPr>
      <w:r>
        <w:rPr>
          <w:sz w:val="20"/>
        </w:rPr>
        <w:t xml:space="preserve">In Case 33, No. 16403, SE-65, Decision No. 11640-C, the WERC used the following criteria in determining if employees were management.  (Some of the statements are interpretations of statements made by the WERC rather than statements actually made in the decision.) </w:t>
      </w:r>
    </w:p>
    <w:p w:rsidR="00D43F64" w:rsidRDefault="00D43F64" w:rsidP="00D43F64">
      <w:pPr>
        <w:tabs>
          <w:tab w:val="left" w:pos="270"/>
          <w:tab w:val="left" w:leader="underscore" w:pos="9936"/>
        </w:tabs>
        <w:rPr>
          <w:sz w:val="20"/>
        </w:rPr>
      </w:pPr>
    </w:p>
    <w:p w:rsidR="00D43F64" w:rsidRDefault="00D43F64" w:rsidP="00D43F64">
      <w:pPr>
        <w:tabs>
          <w:tab w:val="left" w:pos="-1440"/>
        </w:tabs>
        <w:ind w:left="720" w:hanging="720"/>
        <w:rPr>
          <w:sz w:val="20"/>
        </w:rPr>
      </w:pPr>
      <w:r>
        <w:rPr>
          <w:sz w:val="20"/>
        </w:rPr>
        <w:t>7.</w:t>
      </w:r>
      <w:r>
        <w:rPr>
          <w:sz w:val="20"/>
        </w:rPr>
        <w:tab/>
        <w:t xml:space="preserve">If the employee is a division administrator, bureau director, or institution head, the employee is, </w:t>
      </w:r>
      <w:r>
        <w:rPr>
          <w:sz w:val="20"/>
          <w:u w:val="single"/>
        </w:rPr>
        <w:t>per se</w:t>
      </w:r>
      <w:r>
        <w:rPr>
          <w:sz w:val="20"/>
        </w:rPr>
        <w:t>, management.</w:t>
      </w:r>
    </w:p>
    <w:p w:rsidR="00D43F64" w:rsidRDefault="00D43F64" w:rsidP="00D43F64">
      <w:pPr>
        <w:jc w:val="both"/>
        <w:rPr>
          <w:sz w:val="20"/>
        </w:rPr>
      </w:pPr>
    </w:p>
    <w:p w:rsidR="00D43F64" w:rsidRDefault="00D43F64" w:rsidP="00D43F64">
      <w:pPr>
        <w:tabs>
          <w:tab w:val="left" w:pos="-1440"/>
        </w:tabs>
        <w:ind w:left="720" w:hanging="720"/>
        <w:rPr>
          <w:sz w:val="20"/>
        </w:rPr>
      </w:pPr>
      <w:r>
        <w:rPr>
          <w:sz w:val="20"/>
        </w:rPr>
        <w:t>8.</w:t>
      </w:r>
      <w:r>
        <w:rPr>
          <w:sz w:val="20"/>
        </w:rPr>
        <w:tab/>
        <w:t xml:space="preserve">If the employee is not a division administrator, bureau director, or institution head, and if the employee is engaged </w:t>
      </w:r>
      <w:r>
        <w:rPr>
          <w:sz w:val="20"/>
          <w:u w:val="single"/>
        </w:rPr>
        <w:t>predominately</w:t>
      </w:r>
      <w:r>
        <w:rPr>
          <w:sz w:val="20"/>
        </w:rPr>
        <w:t xml:space="preserve"> in </w:t>
      </w:r>
      <w:r>
        <w:rPr>
          <w:sz w:val="20"/>
          <w:u w:val="single"/>
        </w:rPr>
        <w:t>executive and managerial functions</w:t>
      </w:r>
      <w:r>
        <w:rPr>
          <w:sz w:val="20"/>
        </w:rPr>
        <w:t xml:space="preserve"> similar to those engaged in by division administrators, bureau directors, or institution heads, the employee is management.</w:t>
      </w:r>
    </w:p>
    <w:p w:rsidR="00D43F64" w:rsidRDefault="00D43F64" w:rsidP="00D43F64">
      <w:pPr>
        <w:jc w:val="both"/>
        <w:rPr>
          <w:sz w:val="20"/>
        </w:rPr>
      </w:pPr>
    </w:p>
    <w:p w:rsidR="00D43F64" w:rsidRDefault="00D43F64" w:rsidP="00D43F64">
      <w:pPr>
        <w:ind w:left="720"/>
        <w:rPr>
          <w:sz w:val="20"/>
        </w:rPr>
      </w:pPr>
      <w:r>
        <w:rPr>
          <w:sz w:val="20"/>
        </w:rPr>
        <w:t>“Predominate function” is defined as the primary duties performed by the employee.  If the primary duty is to provide legal services or supervise and review the work of others for compliance with established policy, the employee is not engaged predominately in executive and management functions, even though some of the time is spent in formulation, determination, and implementation of management policy.  Predominate functions may be based on importance or percent of time spent.  Generally, percent of time spent will be the determining factor.</w:t>
      </w:r>
    </w:p>
    <w:p w:rsidR="00982715" w:rsidRDefault="00982715" w:rsidP="00D43F64">
      <w:pPr>
        <w:tabs>
          <w:tab w:val="center" w:pos="4680"/>
          <w:tab w:val="right" w:pos="9360"/>
        </w:tabs>
        <w:rPr>
          <w:snapToGrid w:val="0"/>
          <w:sz w:val="16"/>
        </w:rPr>
      </w:pPr>
    </w:p>
    <w:p w:rsidR="00982715" w:rsidRDefault="00982715" w:rsidP="00D43F64">
      <w:pPr>
        <w:tabs>
          <w:tab w:val="center" w:pos="4680"/>
          <w:tab w:val="right" w:pos="9360"/>
        </w:tabs>
        <w:rPr>
          <w:snapToGrid w:val="0"/>
          <w:sz w:val="16"/>
        </w:rPr>
      </w:pPr>
    </w:p>
    <w:p w:rsidR="00D43F64" w:rsidRDefault="00D43F64" w:rsidP="00D43F64">
      <w:pPr>
        <w:tabs>
          <w:tab w:val="center" w:pos="4680"/>
          <w:tab w:val="right" w:pos="9360"/>
        </w:tabs>
        <w:rPr>
          <w:snapToGrid w:val="0"/>
          <w:sz w:val="16"/>
        </w:rPr>
      </w:pPr>
      <w:r>
        <w:rPr>
          <w:snapToGrid w:val="0"/>
          <w:sz w:val="16"/>
        </w:rPr>
        <w:tab/>
        <w:t>(OVER)</w:t>
      </w:r>
    </w:p>
    <w:p w:rsidR="00D43F64" w:rsidRDefault="00D43F64" w:rsidP="00982715">
      <w:pPr>
        <w:tabs>
          <w:tab w:val="center" w:pos="5040"/>
          <w:tab w:val="right" w:pos="10620"/>
        </w:tabs>
        <w:rPr>
          <w:sz w:val="16"/>
        </w:rPr>
      </w:pPr>
      <w:r>
        <w:rPr>
          <w:sz w:val="16"/>
        </w:rPr>
        <w:br w:type="page"/>
      </w:r>
    </w:p>
    <w:p w:rsidR="00982715" w:rsidRPr="00BE1321" w:rsidRDefault="00982715" w:rsidP="00982715">
      <w:pPr>
        <w:pStyle w:val="FformID"/>
        <w:rPr>
          <w:szCs w:val="16"/>
        </w:rPr>
      </w:pPr>
      <w:r>
        <w:rPr>
          <w:szCs w:val="16"/>
        </w:rPr>
        <w:lastRenderedPageBreak/>
        <w:t>DOA-1531</w:t>
      </w:r>
      <w:r w:rsidR="004073D3">
        <w:rPr>
          <w:szCs w:val="16"/>
        </w:rPr>
        <w:t>7</w:t>
      </w:r>
      <w:bookmarkStart w:id="0" w:name="_GoBack"/>
      <w:bookmarkEnd w:id="0"/>
      <w:r w:rsidRPr="00BE1321">
        <w:rPr>
          <w:szCs w:val="16"/>
        </w:rPr>
        <w:t xml:space="preserve"> (C07/2015)</w:t>
      </w:r>
      <w:r>
        <w:rPr>
          <w:szCs w:val="16"/>
        </w:rPr>
        <w:t xml:space="preserve"> continued</w:t>
      </w:r>
    </w:p>
    <w:p w:rsidR="00D43F64" w:rsidRDefault="00D43F64" w:rsidP="004073D3">
      <w:pPr>
        <w:pStyle w:val="FFormtitle"/>
        <w:spacing w:before="120"/>
      </w:pPr>
      <w:r>
        <w:t>Management Exclusion Analysis</w:t>
      </w:r>
    </w:p>
    <w:p w:rsidR="00D43F64" w:rsidRDefault="00D43F64" w:rsidP="00D43F64">
      <w:pPr>
        <w:pStyle w:val="Header"/>
        <w:rPr>
          <w:rFonts w:ascii="Arial" w:hAnsi="Arial"/>
          <w:b/>
          <w:sz w:val="16"/>
        </w:rPr>
      </w:pPr>
    </w:p>
    <w:p w:rsidR="00D43F64" w:rsidRDefault="00D43F64" w:rsidP="00D43F64">
      <w:pPr>
        <w:jc w:val="both"/>
        <w:rPr>
          <w:sz w:val="20"/>
        </w:rPr>
      </w:pPr>
      <w:r>
        <w:rPr>
          <w:sz w:val="20"/>
        </w:rPr>
        <w:tab/>
        <w:t>“Executive and management functions” are defined as:</w:t>
      </w:r>
    </w:p>
    <w:p w:rsidR="00D43F64" w:rsidRDefault="00D43F64" w:rsidP="00D43F64">
      <w:pPr>
        <w:jc w:val="both"/>
        <w:rPr>
          <w:sz w:val="20"/>
        </w:rPr>
      </w:pPr>
    </w:p>
    <w:p w:rsidR="00D43F64" w:rsidRDefault="00D43F64" w:rsidP="00D43F64">
      <w:pPr>
        <w:tabs>
          <w:tab w:val="left" w:pos="-1440"/>
        </w:tabs>
        <w:ind w:left="1440" w:hanging="720"/>
        <w:rPr>
          <w:sz w:val="20"/>
        </w:rPr>
      </w:pPr>
      <w:r>
        <w:rPr>
          <w:sz w:val="20"/>
        </w:rPr>
        <w:t>a.</w:t>
      </w:r>
      <w:r>
        <w:rPr>
          <w:sz w:val="20"/>
        </w:rPr>
        <w:tab/>
        <w:t xml:space="preserve">participation in a significant manner in the formulation, determination, </w:t>
      </w:r>
      <w:r>
        <w:rPr>
          <w:sz w:val="20"/>
          <w:u w:val="single"/>
        </w:rPr>
        <w:t>and</w:t>
      </w:r>
      <w:r>
        <w:rPr>
          <w:sz w:val="20"/>
        </w:rPr>
        <w:t xml:space="preserve"> implementation of management policy; or,</w:t>
      </w:r>
    </w:p>
    <w:p w:rsidR="00D43F64" w:rsidRDefault="00D43F64" w:rsidP="00D43F64">
      <w:pPr>
        <w:jc w:val="both"/>
        <w:rPr>
          <w:sz w:val="20"/>
        </w:rPr>
      </w:pPr>
    </w:p>
    <w:p w:rsidR="00D43F64" w:rsidRDefault="00D43F64" w:rsidP="00D43F64">
      <w:pPr>
        <w:tabs>
          <w:tab w:val="left" w:pos="-1440"/>
        </w:tabs>
        <w:ind w:left="1440" w:hanging="720"/>
        <w:jc w:val="both"/>
        <w:rPr>
          <w:sz w:val="20"/>
        </w:rPr>
      </w:pPr>
      <w:r>
        <w:rPr>
          <w:sz w:val="20"/>
        </w:rPr>
        <w:t>b.</w:t>
      </w:r>
      <w:r>
        <w:rPr>
          <w:sz w:val="20"/>
        </w:rPr>
        <w:tab/>
        <w:t>effective authority to commit the employer's resources.</w:t>
      </w:r>
    </w:p>
    <w:p w:rsidR="00D43F64" w:rsidRDefault="00D43F64" w:rsidP="00D43F64">
      <w:pPr>
        <w:jc w:val="both"/>
        <w:rPr>
          <w:sz w:val="20"/>
        </w:rPr>
      </w:pPr>
    </w:p>
    <w:p w:rsidR="00D43F64" w:rsidRDefault="00D43F64" w:rsidP="00D43F64">
      <w:pPr>
        <w:ind w:left="720"/>
        <w:rPr>
          <w:sz w:val="20"/>
        </w:rPr>
      </w:pPr>
      <w:r>
        <w:rPr>
          <w:sz w:val="20"/>
        </w:rPr>
        <w:t xml:space="preserve">To participate in a significant manner in the formulation, determination, and implementation of management policy, the employee must have greater authority than merely offering advice to higher-level management which may accept or reject the recommendation, or must do more than serving on a management team/committee which must reach consensus. Formulation, determination, and implementation of management policy must be the primary duty of the employee and must be at a level similar to that exercised by division administrators, bureau directors, and institution heads. </w:t>
      </w:r>
    </w:p>
    <w:p w:rsidR="00D43F64" w:rsidRDefault="00D43F64" w:rsidP="00D43F64">
      <w:pPr>
        <w:jc w:val="both"/>
        <w:rPr>
          <w:sz w:val="20"/>
        </w:rPr>
      </w:pPr>
    </w:p>
    <w:p w:rsidR="00D43F64" w:rsidRDefault="00D43F64" w:rsidP="00D43F64">
      <w:pPr>
        <w:ind w:left="720"/>
        <w:rPr>
          <w:sz w:val="20"/>
        </w:rPr>
      </w:pPr>
      <w:r>
        <w:rPr>
          <w:sz w:val="20"/>
        </w:rPr>
        <w:t>Case 33 did not address the resource commitment aspect of the executive and managerial functions.  In municipal sector cases, the WERC has defined this aspect as the exercise of effective authority to commit the employer's resources such as through exercise of authority to establish an original budget or to allocate funds for differing program purposes from such an original budget when the purpose of such funds has not been  previously specified.</w:t>
      </w:r>
    </w:p>
    <w:p w:rsidR="00D43F64" w:rsidRDefault="00D43F64" w:rsidP="00D43F64">
      <w:pPr>
        <w:rPr>
          <w:sz w:val="20"/>
        </w:rPr>
      </w:pPr>
    </w:p>
    <w:p w:rsidR="00D43F64" w:rsidRDefault="00D43F64" w:rsidP="00D43F64">
      <w:pPr>
        <w:rPr>
          <w:sz w:val="20"/>
        </w:rPr>
      </w:pPr>
      <w:r>
        <w:rPr>
          <w:sz w:val="20"/>
        </w:rPr>
        <w:t>9.</w:t>
      </w:r>
      <w:r>
        <w:rPr>
          <w:sz w:val="20"/>
        </w:rPr>
        <w:tab/>
        <w:t>Rationale for the above conclusion (use additional paper if necessary):</w:t>
      </w:r>
    </w:p>
    <w:p w:rsidR="00D43F64" w:rsidRDefault="00D43F64" w:rsidP="00D43F64">
      <w:pPr>
        <w:tabs>
          <w:tab w:val="right" w:leader="underscore" w:pos="10620"/>
        </w:tabs>
        <w:rPr>
          <w:sz w:val="20"/>
        </w:rPr>
      </w:pP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9187"/>
          <w:tab w:val="right" w:leader="underscore" w:pos="10620"/>
        </w:tabs>
        <w:spacing w:after="60"/>
        <w:rPr>
          <w:sz w:val="20"/>
        </w:rPr>
      </w:pPr>
      <w:r>
        <w:rPr>
          <w:sz w:val="20"/>
        </w:rPr>
        <w:tab/>
      </w:r>
    </w:p>
    <w:p w:rsidR="00D43F64" w:rsidRDefault="00D43F64" w:rsidP="00D43F64">
      <w:pPr>
        <w:tabs>
          <w:tab w:val="right" w:leader="underscore" w:pos="10620"/>
        </w:tabs>
        <w:rPr>
          <w:sz w:val="20"/>
        </w:rPr>
      </w:pPr>
    </w:p>
    <w:p w:rsidR="00D43F64" w:rsidRDefault="00D43F64" w:rsidP="00D43F64">
      <w:pPr>
        <w:jc w:val="both"/>
        <w:rPr>
          <w:sz w:val="20"/>
        </w:rPr>
      </w:pPr>
      <w:r>
        <w:rPr>
          <w:sz w:val="20"/>
        </w:rPr>
        <w:t>A signature below means the position has been reviewed and you have concluded it meets the definition of management found in s. 111.81(13), Wis. Stats.</w:t>
      </w:r>
    </w:p>
    <w:p w:rsidR="00D43F64" w:rsidRDefault="00D43F64" w:rsidP="00D43F64">
      <w:pPr>
        <w:tabs>
          <w:tab w:val="left" w:pos="990"/>
          <w:tab w:val="right" w:leader="underscore" w:pos="5400"/>
        </w:tabs>
        <w:rPr>
          <w:sz w:val="20"/>
        </w:rPr>
      </w:pPr>
    </w:p>
    <w:p w:rsidR="00D43F64" w:rsidRDefault="00D43F64" w:rsidP="00D43F64">
      <w:pPr>
        <w:tabs>
          <w:tab w:val="left" w:pos="990"/>
          <w:tab w:val="right" w:leader="underscore" w:pos="7200"/>
          <w:tab w:val="right" w:leader="underscore" w:pos="9270"/>
        </w:tabs>
        <w:rPr>
          <w:sz w:val="20"/>
        </w:rPr>
      </w:pPr>
      <w:r>
        <w:rPr>
          <w:sz w:val="20"/>
        </w:rPr>
        <w:t xml:space="preserve">Supervisor Signature  </w:t>
      </w:r>
      <w:r>
        <w:rPr>
          <w:sz w:val="20"/>
        </w:rPr>
        <w:tab/>
        <w:t xml:space="preserve">  Date  </w:t>
      </w:r>
      <w:r>
        <w:rPr>
          <w:sz w:val="20"/>
        </w:rPr>
        <w:tab/>
      </w:r>
    </w:p>
    <w:p w:rsidR="00D43F64" w:rsidRDefault="00D43F64" w:rsidP="00D43F64">
      <w:pPr>
        <w:tabs>
          <w:tab w:val="left" w:pos="990"/>
          <w:tab w:val="right" w:leader="underscore" w:pos="7200"/>
          <w:tab w:val="right" w:leader="underscore" w:pos="9720"/>
        </w:tabs>
        <w:rPr>
          <w:sz w:val="20"/>
        </w:rPr>
      </w:pPr>
    </w:p>
    <w:p w:rsidR="00D43F64" w:rsidRDefault="00D43F64" w:rsidP="00D43F64">
      <w:pPr>
        <w:tabs>
          <w:tab w:val="left" w:pos="990"/>
          <w:tab w:val="right" w:leader="underscore" w:pos="7200"/>
          <w:tab w:val="right" w:leader="underscore" w:pos="9270"/>
        </w:tabs>
        <w:rPr>
          <w:sz w:val="20"/>
        </w:rPr>
      </w:pPr>
      <w:r>
        <w:rPr>
          <w:sz w:val="20"/>
        </w:rPr>
        <w:t xml:space="preserve">Human Resources Representative  </w:t>
      </w:r>
      <w:r>
        <w:rPr>
          <w:sz w:val="20"/>
        </w:rPr>
        <w:tab/>
        <w:t xml:space="preserve">  Date  </w:t>
      </w:r>
      <w:r>
        <w:rPr>
          <w:sz w:val="20"/>
        </w:rPr>
        <w:tab/>
      </w:r>
    </w:p>
    <w:p w:rsidR="00D43F64" w:rsidRDefault="00D43F64" w:rsidP="00D43F64">
      <w:pPr>
        <w:rPr>
          <w:snapToGrid w:val="0"/>
          <w:sz w:val="16"/>
        </w:rPr>
      </w:pPr>
    </w:p>
    <w:sectPr w:rsidR="00D43F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CC" w:rsidRDefault="002A73CC" w:rsidP="00D43F64">
      <w:r>
        <w:separator/>
      </w:r>
    </w:p>
  </w:endnote>
  <w:endnote w:type="continuationSeparator" w:id="0">
    <w:p w:rsidR="002A73CC" w:rsidRDefault="002A73CC" w:rsidP="00D4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64" w:rsidRDefault="00D43F64" w:rsidP="00D43F64">
    <w:pPr>
      <w:pStyle w:val="Footer"/>
      <w:pBdr>
        <w:top w:val="single" w:sz="6" w:space="1" w:color="auto"/>
      </w:pBdr>
      <w:jc w:val="center"/>
    </w:pPr>
    <w:r>
      <w:rPr>
        <w:rStyle w:val="PageNumber"/>
      </w:rPr>
      <w:fldChar w:fldCharType="begin"/>
    </w:r>
    <w:r>
      <w:rPr>
        <w:rStyle w:val="PageNumber"/>
      </w:rPr>
      <w:instrText xml:space="preserve"> PAGE </w:instrText>
    </w:r>
    <w:r>
      <w:rPr>
        <w:rStyle w:val="PageNumber"/>
      </w:rPr>
      <w:fldChar w:fldCharType="separate"/>
    </w:r>
    <w:r w:rsidR="004073D3">
      <w:rPr>
        <w:rStyle w:val="PageNumber"/>
        <w:noProof/>
      </w:rPr>
      <w:t>1</w:t>
    </w:r>
    <w:r>
      <w:rPr>
        <w:rStyle w:val="PageNumber"/>
      </w:rPr>
      <w:fldChar w:fldCharType="end"/>
    </w:r>
  </w:p>
  <w:p w:rsidR="00D43F64" w:rsidRDefault="00D4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CC" w:rsidRDefault="002A73CC" w:rsidP="00D43F64">
      <w:r>
        <w:separator/>
      </w:r>
    </w:p>
  </w:footnote>
  <w:footnote w:type="continuationSeparator" w:id="0">
    <w:p w:rsidR="002A73CC" w:rsidRDefault="002A73CC" w:rsidP="00D4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64" w:rsidRDefault="00D43F64" w:rsidP="00982715">
    <w:pPr>
      <w:pStyle w:val="Header"/>
      <w:tabs>
        <w:tab w:val="clear" w:pos="4320"/>
      </w:tabs>
      <w:ind w:right="-360"/>
      <w:jc w:val="right"/>
      <w:rPr>
        <w:b/>
        <w:sz w:val="20"/>
      </w:rPr>
    </w:pPr>
    <w:smartTag w:uri="urn:schemas-microsoft-com:office:smarttags" w:element="place">
      <w:r>
        <w:rPr>
          <w:b/>
          <w:sz w:val="20"/>
        </w:rPr>
        <w:t>Wisconsin</w:t>
      </w:r>
    </w:smartTag>
    <w:r>
      <w:rPr>
        <w:b/>
        <w:sz w:val="20"/>
      </w:rPr>
      <w:t xml:space="preserve"> Human Resources Handbook</w:t>
    </w:r>
  </w:p>
  <w:p w:rsidR="00D43F64" w:rsidRPr="00982715" w:rsidRDefault="00D43F64" w:rsidP="00982715">
    <w:pPr>
      <w:pStyle w:val="Header"/>
      <w:tabs>
        <w:tab w:val="clear" w:pos="4320"/>
      </w:tabs>
      <w:ind w:right="-360"/>
      <w:jc w:val="right"/>
      <w:rPr>
        <w:b/>
        <w:sz w:val="16"/>
      </w:rPr>
    </w:pPr>
    <w:smartTag w:uri="urn:schemas-microsoft-com:office:smarttags" w:element="country-region">
      <w:smartTag w:uri="urn:schemas-microsoft-com:office:smarttags" w:element="place">
        <w:r>
          <w:rPr>
            <w:b/>
            <w:sz w:val="16"/>
          </w:rPr>
          <w:t>Ch.</w:t>
        </w:r>
      </w:smartTag>
    </w:smartTag>
    <w:r>
      <w:rPr>
        <w:b/>
        <w:sz w:val="16"/>
      </w:rPr>
      <w:t xml:space="preserve"> 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4"/>
    <w:rsid w:val="002A73CC"/>
    <w:rsid w:val="0034597B"/>
    <w:rsid w:val="003D03DC"/>
    <w:rsid w:val="004073D3"/>
    <w:rsid w:val="00982715"/>
    <w:rsid w:val="009B6224"/>
    <w:rsid w:val="00B71CF0"/>
    <w:rsid w:val="00BC654E"/>
    <w:rsid w:val="00D43F64"/>
    <w:rsid w:val="00E87503"/>
    <w:rsid w:val="00F8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6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D43F64"/>
    <w:pPr>
      <w:keepNext/>
      <w:tabs>
        <w:tab w:val="center" w:pos="5040"/>
        <w:tab w:val="right" w:pos="10620"/>
      </w:tabs>
      <w:jc w:val="right"/>
      <w:outlineLvl w:val="3"/>
    </w:pPr>
    <w:rPr>
      <w:rFonts w:ascii="Arial" w:hAnsi="Arial"/>
      <w:b/>
      <w:sz w:val="16"/>
    </w:rPr>
  </w:style>
  <w:style w:type="paragraph" w:styleId="Heading5">
    <w:name w:val="heading 5"/>
    <w:basedOn w:val="Normal"/>
    <w:next w:val="Normal"/>
    <w:link w:val="Heading5Char"/>
    <w:qFormat/>
    <w:rsid w:val="00D43F64"/>
    <w:pPr>
      <w:keepNext/>
      <w:tabs>
        <w:tab w:val="center" w:pos="5040"/>
        <w:tab w:val="right" w:pos="10620"/>
      </w:tabs>
      <w:jc w:val="righ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6224"/>
    <w:rPr>
      <w:rFonts w:ascii="Tahoma" w:hAnsi="Tahoma" w:cs="Tahoma"/>
      <w:sz w:val="16"/>
      <w:szCs w:val="16"/>
    </w:rPr>
  </w:style>
  <w:style w:type="character" w:customStyle="1" w:styleId="BalloonTextChar">
    <w:name w:val="Balloon Text Char"/>
    <w:basedOn w:val="DefaultParagraphFont"/>
    <w:link w:val="BalloonText"/>
    <w:semiHidden/>
    <w:rsid w:val="009B6224"/>
    <w:rPr>
      <w:rFonts w:ascii="Tahoma" w:eastAsia="Times New Roman" w:hAnsi="Tahoma" w:cs="Tahoma"/>
      <w:sz w:val="16"/>
      <w:szCs w:val="16"/>
    </w:rPr>
  </w:style>
  <w:style w:type="character" w:customStyle="1" w:styleId="Heading4Char">
    <w:name w:val="Heading 4 Char"/>
    <w:basedOn w:val="DefaultParagraphFont"/>
    <w:link w:val="Heading4"/>
    <w:rsid w:val="00D43F64"/>
    <w:rPr>
      <w:rFonts w:ascii="Arial" w:eastAsia="Times New Roman" w:hAnsi="Arial" w:cs="Times New Roman"/>
      <w:b/>
      <w:sz w:val="16"/>
      <w:szCs w:val="20"/>
    </w:rPr>
  </w:style>
  <w:style w:type="character" w:customStyle="1" w:styleId="Heading5Char">
    <w:name w:val="Heading 5 Char"/>
    <w:basedOn w:val="DefaultParagraphFont"/>
    <w:link w:val="Heading5"/>
    <w:rsid w:val="00D43F64"/>
    <w:rPr>
      <w:rFonts w:ascii="Arial" w:eastAsia="Times New Roman" w:hAnsi="Arial" w:cs="Times New Roman"/>
      <w:b/>
      <w:sz w:val="20"/>
      <w:szCs w:val="20"/>
    </w:rPr>
  </w:style>
  <w:style w:type="paragraph" w:styleId="Header">
    <w:name w:val="header"/>
    <w:basedOn w:val="Normal"/>
    <w:link w:val="HeaderChar"/>
    <w:rsid w:val="00D43F64"/>
    <w:pPr>
      <w:tabs>
        <w:tab w:val="center" w:pos="4320"/>
        <w:tab w:val="right" w:pos="8640"/>
      </w:tabs>
    </w:pPr>
  </w:style>
  <w:style w:type="character" w:customStyle="1" w:styleId="HeaderChar">
    <w:name w:val="Header Char"/>
    <w:basedOn w:val="DefaultParagraphFont"/>
    <w:link w:val="Header"/>
    <w:rsid w:val="00D43F64"/>
    <w:rPr>
      <w:rFonts w:ascii="Times New Roman" w:eastAsia="Times New Roman" w:hAnsi="Times New Roman" w:cs="Times New Roman"/>
      <w:sz w:val="24"/>
      <w:szCs w:val="20"/>
    </w:rPr>
  </w:style>
  <w:style w:type="paragraph" w:styleId="Footer">
    <w:name w:val="footer"/>
    <w:basedOn w:val="Normal"/>
    <w:link w:val="FooterChar"/>
    <w:unhideWhenUsed/>
    <w:rsid w:val="00D43F64"/>
    <w:pPr>
      <w:tabs>
        <w:tab w:val="center" w:pos="4680"/>
        <w:tab w:val="right" w:pos="9360"/>
      </w:tabs>
    </w:pPr>
  </w:style>
  <w:style w:type="character" w:customStyle="1" w:styleId="FooterChar">
    <w:name w:val="Footer Char"/>
    <w:basedOn w:val="DefaultParagraphFont"/>
    <w:link w:val="Footer"/>
    <w:rsid w:val="00D43F64"/>
    <w:rPr>
      <w:rFonts w:ascii="Times New Roman" w:eastAsia="Times New Roman" w:hAnsi="Times New Roman" w:cs="Times New Roman"/>
      <w:sz w:val="24"/>
      <w:szCs w:val="20"/>
    </w:rPr>
  </w:style>
  <w:style w:type="character" w:styleId="PageNumber">
    <w:name w:val="page number"/>
    <w:basedOn w:val="DefaultParagraphFont"/>
    <w:rsid w:val="00D43F64"/>
  </w:style>
  <w:style w:type="paragraph" w:customStyle="1" w:styleId="FCheckbox">
    <w:name w:val="F Check box"/>
    <w:basedOn w:val="Normal"/>
    <w:rsid w:val="00982715"/>
    <w:rPr>
      <w:sz w:val="18"/>
    </w:rPr>
  </w:style>
  <w:style w:type="paragraph" w:customStyle="1" w:styleId="Ffilltext">
    <w:name w:val="F fill text"/>
    <w:basedOn w:val="Normal"/>
    <w:rsid w:val="00982715"/>
    <w:rPr>
      <w:sz w:val="22"/>
    </w:rPr>
  </w:style>
  <w:style w:type="paragraph" w:customStyle="1" w:styleId="FFormtitle">
    <w:name w:val="F Form title"/>
    <w:basedOn w:val="Normal"/>
    <w:rsid w:val="00982715"/>
    <w:pPr>
      <w:jc w:val="center"/>
    </w:pPr>
    <w:rPr>
      <w:rFonts w:ascii="Arial" w:hAnsi="Arial"/>
      <w:b/>
    </w:rPr>
  </w:style>
  <w:style w:type="paragraph" w:customStyle="1" w:styleId="FFormSubtitle">
    <w:name w:val="F Form Subtitle"/>
    <w:basedOn w:val="FFormtitle"/>
    <w:rsid w:val="00982715"/>
    <w:pPr>
      <w:jc w:val="left"/>
    </w:pPr>
    <w:rPr>
      <w:sz w:val="20"/>
    </w:rPr>
  </w:style>
  <w:style w:type="paragraph" w:customStyle="1" w:styleId="FformID">
    <w:name w:val="F formID"/>
    <w:basedOn w:val="Normal"/>
    <w:rsid w:val="00982715"/>
    <w:rPr>
      <w:rFonts w:ascii="Arial" w:hAnsi="Arial"/>
      <w:caps/>
      <w:sz w:val="16"/>
    </w:rPr>
  </w:style>
  <w:style w:type="paragraph" w:customStyle="1" w:styleId="Finstructions">
    <w:name w:val="F instructions"/>
    <w:basedOn w:val="Normal"/>
    <w:rsid w:val="00982715"/>
    <w:rPr>
      <w:rFonts w:ascii="Arial" w:hAnsi="Arial"/>
      <w:sz w:val="16"/>
    </w:rPr>
  </w:style>
  <w:style w:type="paragraph" w:customStyle="1" w:styleId="Flabels">
    <w:name w:val="F labels"/>
    <w:basedOn w:val="Normal"/>
    <w:rsid w:val="00982715"/>
    <w:pPr>
      <w:ind w:left="360" w:hanging="360"/>
    </w:pPr>
    <w:rPr>
      <w:rFonts w:ascii="Arial" w:hAnsi="Arial"/>
      <w:sz w:val="20"/>
    </w:rPr>
  </w:style>
  <w:style w:type="paragraph" w:customStyle="1" w:styleId="FStatutoryreference">
    <w:name w:val="F Statutory reference"/>
    <w:basedOn w:val="FformID"/>
    <w:rsid w:val="00982715"/>
    <w:rPr>
      <w:caps w:val="0"/>
    </w:rPr>
  </w:style>
  <w:style w:type="paragraph" w:customStyle="1" w:styleId="Fsubtitle">
    <w:name w:val="F subtitle"/>
    <w:basedOn w:val="FFormtitle"/>
    <w:rsid w:val="00982715"/>
    <w:pPr>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64"/>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D43F64"/>
    <w:pPr>
      <w:keepNext/>
      <w:tabs>
        <w:tab w:val="center" w:pos="5040"/>
        <w:tab w:val="right" w:pos="10620"/>
      </w:tabs>
      <w:jc w:val="right"/>
      <w:outlineLvl w:val="3"/>
    </w:pPr>
    <w:rPr>
      <w:rFonts w:ascii="Arial" w:hAnsi="Arial"/>
      <w:b/>
      <w:sz w:val="16"/>
    </w:rPr>
  </w:style>
  <w:style w:type="paragraph" w:styleId="Heading5">
    <w:name w:val="heading 5"/>
    <w:basedOn w:val="Normal"/>
    <w:next w:val="Normal"/>
    <w:link w:val="Heading5Char"/>
    <w:qFormat/>
    <w:rsid w:val="00D43F64"/>
    <w:pPr>
      <w:keepNext/>
      <w:tabs>
        <w:tab w:val="center" w:pos="5040"/>
        <w:tab w:val="right" w:pos="10620"/>
      </w:tabs>
      <w:jc w:val="righ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6224"/>
    <w:rPr>
      <w:rFonts w:ascii="Tahoma" w:hAnsi="Tahoma" w:cs="Tahoma"/>
      <w:sz w:val="16"/>
      <w:szCs w:val="16"/>
    </w:rPr>
  </w:style>
  <w:style w:type="character" w:customStyle="1" w:styleId="BalloonTextChar">
    <w:name w:val="Balloon Text Char"/>
    <w:basedOn w:val="DefaultParagraphFont"/>
    <w:link w:val="BalloonText"/>
    <w:semiHidden/>
    <w:rsid w:val="009B6224"/>
    <w:rPr>
      <w:rFonts w:ascii="Tahoma" w:eastAsia="Times New Roman" w:hAnsi="Tahoma" w:cs="Tahoma"/>
      <w:sz w:val="16"/>
      <w:szCs w:val="16"/>
    </w:rPr>
  </w:style>
  <w:style w:type="character" w:customStyle="1" w:styleId="Heading4Char">
    <w:name w:val="Heading 4 Char"/>
    <w:basedOn w:val="DefaultParagraphFont"/>
    <w:link w:val="Heading4"/>
    <w:rsid w:val="00D43F64"/>
    <w:rPr>
      <w:rFonts w:ascii="Arial" w:eastAsia="Times New Roman" w:hAnsi="Arial" w:cs="Times New Roman"/>
      <w:b/>
      <w:sz w:val="16"/>
      <w:szCs w:val="20"/>
    </w:rPr>
  </w:style>
  <w:style w:type="character" w:customStyle="1" w:styleId="Heading5Char">
    <w:name w:val="Heading 5 Char"/>
    <w:basedOn w:val="DefaultParagraphFont"/>
    <w:link w:val="Heading5"/>
    <w:rsid w:val="00D43F64"/>
    <w:rPr>
      <w:rFonts w:ascii="Arial" w:eastAsia="Times New Roman" w:hAnsi="Arial" w:cs="Times New Roman"/>
      <w:b/>
      <w:sz w:val="20"/>
      <w:szCs w:val="20"/>
    </w:rPr>
  </w:style>
  <w:style w:type="paragraph" w:styleId="Header">
    <w:name w:val="header"/>
    <w:basedOn w:val="Normal"/>
    <w:link w:val="HeaderChar"/>
    <w:rsid w:val="00D43F64"/>
    <w:pPr>
      <w:tabs>
        <w:tab w:val="center" w:pos="4320"/>
        <w:tab w:val="right" w:pos="8640"/>
      </w:tabs>
    </w:pPr>
  </w:style>
  <w:style w:type="character" w:customStyle="1" w:styleId="HeaderChar">
    <w:name w:val="Header Char"/>
    <w:basedOn w:val="DefaultParagraphFont"/>
    <w:link w:val="Header"/>
    <w:rsid w:val="00D43F64"/>
    <w:rPr>
      <w:rFonts w:ascii="Times New Roman" w:eastAsia="Times New Roman" w:hAnsi="Times New Roman" w:cs="Times New Roman"/>
      <w:sz w:val="24"/>
      <w:szCs w:val="20"/>
    </w:rPr>
  </w:style>
  <w:style w:type="paragraph" w:styleId="Footer">
    <w:name w:val="footer"/>
    <w:basedOn w:val="Normal"/>
    <w:link w:val="FooterChar"/>
    <w:unhideWhenUsed/>
    <w:rsid w:val="00D43F64"/>
    <w:pPr>
      <w:tabs>
        <w:tab w:val="center" w:pos="4680"/>
        <w:tab w:val="right" w:pos="9360"/>
      </w:tabs>
    </w:pPr>
  </w:style>
  <w:style w:type="character" w:customStyle="1" w:styleId="FooterChar">
    <w:name w:val="Footer Char"/>
    <w:basedOn w:val="DefaultParagraphFont"/>
    <w:link w:val="Footer"/>
    <w:rsid w:val="00D43F64"/>
    <w:rPr>
      <w:rFonts w:ascii="Times New Roman" w:eastAsia="Times New Roman" w:hAnsi="Times New Roman" w:cs="Times New Roman"/>
      <w:sz w:val="24"/>
      <w:szCs w:val="20"/>
    </w:rPr>
  </w:style>
  <w:style w:type="character" w:styleId="PageNumber">
    <w:name w:val="page number"/>
    <w:basedOn w:val="DefaultParagraphFont"/>
    <w:rsid w:val="00D43F64"/>
  </w:style>
  <w:style w:type="paragraph" w:customStyle="1" w:styleId="FCheckbox">
    <w:name w:val="F Check box"/>
    <w:basedOn w:val="Normal"/>
    <w:rsid w:val="00982715"/>
    <w:rPr>
      <w:sz w:val="18"/>
    </w:rPr>
  </w:style>
  <w:style w:type="paragraph" w:customStyle="1" w:styleId="Ffilltext">
    <w:name w:val="F fill text"/>
    <w:basedOn w:val="Normal"/>
    <w:rsid w:val="00982715"/>
    <w:rPr>
      <w:sz w:val="22"/>
    </w:rPr>
  </w:style>
  <w:style w:type="paragraph" w:customStyle="1" w:styleId="FFormtitle">
    <w:name w:val="F Form title"/>
    <w:basedOn w:val="Normal"/>
    <w:rsid w:val="00982715"/>
    <w:pPr>
      <w:jc w:val="center"/>
    </w:pPr>
    <w:rPr>
      <w:rFonts w:ascii="Arial" w:hAnsi="Arial"/>
      <w:b/>
    </w:rPr>
  </w:style>
  <w:style w:type="paragraph" w:customStyle="1" w:styleId="FFormSubtitle">
    <w:name w:val="F Form Subtitle"/>
    <w:basedOn w:val="FFormtitle"/>
    <w:rsid w:val="00982715"/>
    <w:pPr>
      <w:jc w:val="left"/>
    </w:pPr>
    <w:rPr>
      <w:sz w:val="20"/>
    </w:rPr>
  </w:style>
  <w:style w:type="paragraph" w:customStyle="1" w:styleId="FformID">
    <w:name w:val="F formID"/>
    <w:basedOn w:val="Normal"/>
    <w:rsid w:val="00982715"/>
    <w:rPr>
      <w:rFonts w:ascii="Arial" w:hAnsi="Arial"/>
      <w:caps/>
      <w:sz w:val="16"/>
    </w:rPr>
  </w:style>
  <w:style w:type="paragraph" w:customStyle="1" w:styleId="Finstructions">
    <w:name w:val="F instructions"/>
    <w:basedOn w:val="Normal"/>
    <w:rsid w:val="00982715"/>
    <w:rPr>
      <w:rFonts w:ascii="Arial" w:hAnsi="Arial"/>
      <w:sz w:val="16"/>
    </w:rPr>
  </w:style>
  <w:style w:type="paragraph" w:customStyle="1" w:styleId="Flabels">
    <w:name w:val="F labels"/>
    <w:basedOn w:val="Normal"/>
    <w:rsid w:val="00982715"/>
    <w:pPr>
      <w:ind w:left="360" w:hanging="360"/>
    </w:pPr>
    <w:rPr>
      <w:rFonts w:ascii="Arial" w:hAnsi="Arial"/>
      <w:sz w:val="20"/>
    </w:rPr>
  </w:style>
  <w:style w:type="paragraph" w:customStyle="1" w:styleId="FStatutoryreference">
    <w:name w:val="F Statutory reference"/>
    <w:basedOn w:val="FformID"/>
    <w:rsid w:val="00982715"/>
    <w:rPr>
      <w:caps w:val="0"/>
    </w:rPr>
  </w:style>
  <w:style w:type="paragraph" w:customStyle="1" w:styleId="Fsubtitle">
    <w:name w:val="F subtitle"/>
    <w:basedOn w:val="FFormtitle"/>
    <w:rsid w:val="0098271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52407-6646-46A2-B35B-CCA1BE63697C}"/>
</file>

<file path=customXml/itemProps2.xml><?xml version="1.0" encoding="utf-8"?>
<ds:datastoreItem xmlns:ds="http://schemas.openxmlformats.org/officeDocument/2006/customXml" ds:itemID="{1C27E211-C611-46DA-BE7C-EBFC909C337C}"/>
</file>

<file path=customXml/itemProps3.xml><?xml version="1.0" encoding="utf-8"?>
<ds:datastoreItem xmlns:ds="http://schemas.openxmlformats.org/officeDocument/2006/customXml" ds:itemID="{A75FE169-BF35-4E7D-805A-15A673BCE8B1}"/>
</file>

<file path=customXml/itemProps4.xml><?xml version="1.0" encoding="utf-8"?>
<ds:datastoreItem xmlns:ds="http://schemas.openxmlformats.org/officeDocument/2006/customXml" ds:itemID="{5F82DDC7-3CBF-401C-8A6B-D86F8249C82B}"/>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Surillo, Rey</dc:creator>
  <cp:lastModifiedBy>Linde, Lori - DOA</cp:lastModifiedBy>
  <cp:revision>4</cp:revision>
  <dcterms:created xsi:type="dcterms:W3CDTF">2015-07-21T16:33:00Z</dcterms:created>
  <dcterms:modified xsi:type="dcterms:W3CDTF">2015-07-22T11:47:00Z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